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7610F">
      <w:pPr>
        <w:jc w:val="center"/>
        <w:rPr>
          <w:rFonts w:ascii="黑体" w:hAnsi="黑体" w:eastAsia="黑体"/>
          <w:sz w:val="32"/>
          <w:szCs w:val="32"/>
        </w:rPr>
      </w:pPr>
      <w:r>
        <w:rPr>
          <w:rFonts w:hint="eastAsia" w:ascii="黑体" w:hAnsi="黑体" w:eastAsia="黑体"/>
          <w:sz w:val="32"/>
          <w:szCs w:val="32"/>
        </w:rPr>
        <w:t>中介机构申请上海股权托管交易中心</w:t>
      </w:r>
    </w:p>
    <w:p w14:paraId="4B599CE5">
      <w:pPr>
        <w:jc w:val="center"/>
        <w:rPr>
          <w:rFonts w:ascii="黑体" w:hAnsi="黑体" w:eastAsia="黑体"/>
          <w:sz w:val="32"/>
          <w:szCs w:val="32"/>
        </w:rPr>
      </w:pPr>
      <w:r>
        <w:rPr>
          <w:rFonts w:hint="eastAsia" w:ascii="黑体" w:hAnsi="黑体" w:eastAsia="黑体"/>
          <w:sz w:val="32"/>
          <w:szCs w:val="32"/>
        </w:rPr>
        <w:t>私募基金份额转让服务业务资格自律承诺书</w:t>
      </w:r>
    </w:p>
    <w:p w14:paraId="5A33428F">
      <w:pPr>
        <w:autoSpaceDE w:val="0"/>
        <w:autoSpaceDN w:val="0"/>
        <w:adjustRightInd w:val="0"/>
        <w:jc w:val="left"/>
        <w:rPr>
          <w:rFonts w:ascii="黑体" w:hAnsi="黑体" w:eastAsia="黑体" w:cs="宋体"/>
          <w:kern w:val="0"/>
          <w:sz w:val="32"/>
          <w:szCs w:val="21"/>
        </w:rPr>
      </w:pPr>
    </w:p>
    <w:p w14:paraId="5CD134FF">
      <w:pPr>
        <w:autoSpaceDE w:val="0"/>
        <w:autoSpaceDN w:val="0"/>
        <w:adjustRightInd w:val="0"/>
        <w:jc w:val="left"/>
        <w:rPr>
          <w:rFonts w:ascii="仿宋" w:hAnsi="仿宋" w:eastAsia="仿宋" w:cs="仿宋_GB2312"/>
          <w:b/>
          <w:kern w:val="0"/>
          <w:sz w:val="28"/>
          <w:szCs w:val="28"/>
        </w:rPr>
      </w:pPr>
      <w:r>
        <w:rPr>
          <w:rFonts w:hint="eastAsia" w:ascii="仿宋" w:hAnsi="仿宋" w:eastAsia="仿宋" w:cs="仿宋_GB2312"/>
          <w:b/>
          <w:kern w:val="0"/>
          <w:sz w:val="28"/>
          <w:szCs w:val="28"/>
        </w:rPr>
        <w:t>上海股权托管交易中心：</w:t>
      </w:r>
    </w:p>
    <w:p w14:paraId="48FCEC19">
      <w:pPr>
        <w:autoSpaceDE w:val="0"/>
        <w:autoSpaceDN w:val="0"/>
        <w:adjustRightInd w:val="0"/>
        <w:ind w:firstLine="677" w:firstLineChars="242"/>
        <w:jc w:val="left"/>
        <w:rPr>
          <w:rFonts w:ascii="仿宋" w:hAnsi="仿宋" w:eastAsia="仿宋" w:cs="仿宋_GB2312"/>
          <w:kern w:val="0"/>
          <w:sz w:val="28"/>
          <w:szCs w:val="28"/>
        </w:rPr>
      </w:pPr>
      <w:r>
        <w:rPr>
          <w:rFonts w:hint="eastAsia" w:ascii="仿宋" w:hAnsi="仿宋" w:eastAsia="仿宋" w:cs="宋体"/>
          <w:kern w:val="0"/>
          <w:sz w:val="28"/>
        </w:rPr>
        <w:t>*****</w:t>
      </w:r>
      <w:r>
        <w:rPr>
          <w:rFonts w:hint="eastAsia" w:ascii="仿宋" w:hAnsi="仿宋" w:eastAsia="仿宋" w:cs="仿宋_GB2312"/>
          <w:kern w:val="0"/>
          <w:sz w:val="28"/>
          <w:szCs w:val="28"/>
        </w:rPr>
        <w:t>（以下简称“本公司/本单位</w:t>
      </w:r>
      <w:r>
        <w:rPr>
          <w:rFonts w:ascii="仿宋" w:hAnsi="仿宋" w:eastAsia="仿宋" w:cs="仿宋_GB2312"/>
          <w:kern w:val="0"/>
          <w:sz w:val="28"/>
          <w:szCs w:val="28"/>
        </w:rPr>
        <w:t>”</w:t>
      </w:r>
      <w:r>
        <w:rPr>
          <w:rFonts w:hint="eastAsia" w:ascii="仿宋" w:hAnsi="仿宋" w:eastAsia="仿宋" w:cs="仿宋_GB2312"/>
          <w:kern w:val="0"/>
          <w:sz w:val="28"/>
          <w:szCs w:val="28"/>
        </w:rPr>
        <w:t>）就申请获得上海股权托管交易中心私募基金份额转让服务</w:t>
      </w:r>
      <w:r>
        <w:rPr>
          <w:rFonts w:ascii="仿宋" w:hAnsi="仿宋" w:eastAsia="仿宋"/>
          <w:sz w:val="28"/>
          <w:szCs w:val="28"/>
        </w:rPr>
        <w:t>业务资格</w:t>
      </w:r>
      <w:r>
        <w:rPr>
          <w:rFonts w:hint="eastAsia" w:ascii="仿宋" w:hAnsi="仿宋" w:eastAsia="仿宋" w:cs="仿宋_GB2312"/>
          <w:kern w:val="0"/>
          <w:sz w:val="28"/>
          <w:szCs w:val="28"/>
        </w:rPr>
        <w:t>开展相关业务，特承诺如下：</w:t>
      </w:r>
    </w:p>
    <w:p w14:paraId="06210EF2">
      <w:pPr>
        <w:autoSpaceDE w:val="0"/>
        <w:autoSpaceDN w:val="0"/>
        <w:adjustRightInd w:val="0"/>
        <w:ind w:firstLine="680" w:firstLineChars="242"/>
        <w:jc w:val="left"/>
        <w:rPr>
          <w:rFonts w:ascii="仿宋" w:hAnsi="仿宋" w:eastAsia="仿宋" w:cs="仿宋_GB2312"/>
          <w:kern w:val="0"/>
          <w:sz w:val="28"/>
          <w:szCs w:val="28"/>
        </w:rPr>
      </w:pPr>
      <w:r>
        <w:rPr>
          <w:rFonts w:hint="eastAsia" w:ascii="仿宋" w:hAnsi="仿宋" w:eastAsia="仿宋" w:cs="仿宋_GB2312"/>
          <w:b/>
          <w:kern w:val="0"/>
          <w:sz w:val="28"/>
          <w:szCs w:val="28"/>
        </w:rPr>
        <w:t>一、内部管理</w:t>
      </w:r>
    </w:p>
    <w:p w14:paraId="709FD0DA">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（一）遵守上海股权托管交易中心（以下简称“上股交”）相关规则，认真履行中介机构的职责和义务，正确行使中介机构权利，按时缴纳相关费用。</w:t>
      </w:r>
    </w:p>
    <w:p w14:paraId="29B8915E">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（二）设置专门的机构，配备专职业务人员；由本公司/本单位高级管理人员负责日常相关业务管理。</w:t>
      </w:r>
    </w:p>
    <w:p w14:paraId="3B8F447F">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（三</w:t>
      </w:r>
      <w:r>
        <w:rPr>
          <w:rFonts w:ascii="仿宋" w:hAnsi="仿宋" w:eastAsia="仿宋" w:cs="仿宋_GB2312"/>
          <w:kern w:val="0"/>
          <w:sz w:val="28"/>
          <w:szCs w:val="28"/>
        </w:rPr>
        <w:t>）</w:t>
      </w:r>
      <w:r>
        <w:rPr>
          <w:rFonts w:hint="eastAsia" w:ascii="仿宋" w:hAnsi="仿宋" w:eastAsia="仿宋" w:cs="仿宋_GB2312"/>
          <w:kern w:val="0"/>
          <w:sz w:val="28"/>
          <w:szCs w:val="28"/>
        </w:rPr>
        <w:t>专职业务人员熟悉相关法律法规、政策性规定及上股交相关业务规则。</w:t>
      </w:r>
    </w:p>
    <w:p w14:paraId="59BF5C8C">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（四）业务代表、业务联络人及有关从业人员按照上股交的要求参加相关业务培训。</w:t>
      </w:r>
    </w:p>
    <w:p w14:paraId="5E19AA49">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（五）建立健全本公司/本单位内部管理制度、风险防范机制和投资者适当性管理制度，并严格执行。</w:t>
      </w:r>
    </w:p>
    <w:p w14:paraId="768FC4D0">
      <w:pPr>
        <w:tabs>
          <w:tab w:val="left" w:pos="1470"/>
        </w:tabs>
        <w:autoSpaceDE w:val="0"/>
        <w:autoSpaceDN w:val="0"/>
        <w:adjustRightInd w:val="0"/>
        <w:ind w:firstLine="560" w:firstLineChars="200"/>
        <w:jc w:val="left"/>
        <w:rPr>
          <w:rFonts w:hAnsi="仿宋" w:eastAsia="仿宋"/>
          <w:color w:val="000000"/>
          <w:kern w:val="0"/>
          <w:sz w:val="28"/>
          <w:szCs w:val="28"/>
        </w:rPr>
      </w:pPr>
      <w:r>
        <w:rPr>
          <w:rFonts w:hint="eastAsia" w:hAnsi="仿宋" w:eastAsia="仿宋"/>
          <w:color w:val="000000"/>
          <w:kern w:val="0"/>
          <w:sz w:val="28"/>
          <w:szCs w:val="28"/>
        </w:rPr>
        <w:t>（六）加强分支机构管理，审慎、规范开展与其他机构或个人涉及有关业务的合作。</w:t>
      </w:r>
    </w:p>
    <w:p w14:paraId="0AB57602">
      <w:pPr>
        <w:tabs>
          <w:tab w:val="left" w:pos="1470"/>
        </w:tabs>
        <w:autoSpaceDE w:val="0"/>
        <w:autoSpaceDN w:val="0"/>
        <w:adjustRightInd w:val="0"/>
        <w:ind w:firstLine="560" w:firstLineChars="200"/>
        <w:jc w:val="left"/>
        <w:rPr>
          <w:rFonts w:hAnsi="仿宋" w:eastAsia="仿宋"/>
          <w:color w:val="000000"/>
          <w:kern w:val="0"/>
          <w:sz w:val="28"/>
          <w:szCs w:val="28"/>
        </w:rPr>
      </w:pPr>
      <w:r>
        <w:rPr>
          <w:rFonts w:hint="eastAsia" w:hAnsi="仿宋" w:eastAsia="仿宋"/>
          <w:color w:val="000000"/>
          <w:kern w:val="0"/>
          <w:sz w:val="28"/>
          <w:szCs w:val="28"/>
        </w:rPr>
        <w:t>（七）按要求与所推荐挂牌基金份额的份额持有人签订相关协议，明确各方权利、义务与责任。</w:t>
      </w:r>
    </w:p>
    <w:p w14:paraId="24EB1636">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hAnsi="仿宋" w:eastAsia="仿宋"/>
          <w:color w:val="000000"/>
          <w:kern w:val="0"/>
          <w:sz w:val="28"/>
          <w:szCs w:val="28"/>
        </w:rPr>
        <w:t>（八）建立健全业务隔离制度，保证不利用基金、基金份额持有人、基金管理人尚未披露的信息为自己或他人直接或间接谋取不当利益，不利用投资者账户或代理投资者进行任何操作，保证</w:t>
      </w:r>
      <w:r>
        <w:rPr>
          <w:rFonts w:hint="eastAsia" w:hAnsi="仿宋" w:eastAsia="仿宋"/>
          <w:kern w:val="0"/>
          <w:sz w:val="28"/>
          <w:szCs w:val="28"/>
        </w:rPr>
        <w:t>与基金</w:t>
      </w:r>
      <w:r>
        <w:rPr>
          <w:rFonts w:hAnsi="仿宋" w:eastAsia="仿宋"/>
          <w:kern w:val="0"/>
          <w:sz w:val="28"/>
          <w:szCs w:val="28"/>
        </w:rPr>
        <w:t>份额转让</w:t>
      </w:r>
      <w:r>
        <w:rPr>
          <w:rFonts w:hint="eastAsia" w:hAnsi="仿宋" w:eastAsia="仿宋"/>
          <w:kern w:val="0"/>
          <w:sz w:val="28"/>
          <w:szCs w:val="28"/>
        </w:rPr>
        <w:t>双方之间不存在影响公正履行职责的关联关系</w:t>
      </w:r>
      <w:r>
        <w:rPr>
          <w:rFonts w:hint="eastAsia" w:hAnsi="仿宋" w:eastAsia="仿宋"/>
          <w:color w:val="000000"/>
          <w:kern w:val="0"/>
          <w:sz w:val="28"/>
          <w:szCs w:val="28"/>
        </w:rPr>
        <w:t>。</w:t>
      </w:r>
    </w:p>
    <w:p w14:paraId="08204334">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（九）在开展业务过程中遇到现行规则未作规定的重大事项时，及时报告上股交，并按照上股交的要求进行处理。</w:t>
      </w:r>
    </w:p>
    <w:p w14:paraId="55AE51CB">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（十）</w:t>
      </w:r>
      <w:r>
        <w:rPr>
          <w:rFonts w:hint="eastAsia" w:hAnsi="仿宋" w:eastAsia="仿宋"/>
          <w:color w:val="000000"/>
          <w:sz w:val="28"/>
          <w:szCs w:val="28"/>
        </w:rPr>
        <w:t>建立健全业务档案管理制度，将尽职调查工作底稿、尽职调查意见、服务协议等归入业务档案，保存期限在相应业务到期后不少于二十年。</w:t>
      </w:r>
    </w:p>
    <w:p w14:paraId="05A14F5D">
      <w:pPr>
        <w:autoSpaceDE w:val="0"/>
        <w:autoSpaceDN w:val="0"/>
        <w:adjustRightInd w:val="0"/>
        <w:ind w:firstLine="540" w:firstLineChars="192"/>
        <w:jc w:val="left"/>
        <w:rPr>
          <w:rFonts w:ascii="仿宋" w:hAnsi="仿宋" w:eastAsia="仿宋" w:cs="仿宋_GB2312"/>
          <w:b/>
          <w:kern w:val="0"/>
          <w:sz w:val="28"/>
          <w:szCs w:val="28"/>
        </w:rPr>
      </w:pPr>
      <w:r>
        <w:rPr>
          <w:rFonts w:hint="eastAsia" w:ascii="仿宋" w:hAnsi="仿宋" w:eastAsia="仿宋" w:cs="仿宋_GB2312"/>
          <w:b/>
          <w:kern w:val="0"/>
          <w:sz w:val="28"/>
          <w:szCs w:val="28"/>
        </w:rPr>
        <w:t>二、业务开展</w:t>
      </w:r>
    </w:p>
    <w:p w14:paraId="05779C6F">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（一）</w:t>
      </w:r>
      <w:r>
        <w:rPr>
          <w:rFonts w:hint="eastAsia" w:hAnsi="仿宋" w:eastAsia="仿宋"/>
          <w:color w:val="000000"/>
          <w:kern w:val="0"/>
          <w:sz w:val="28"/>
          <w:szCs w:val="28"/>
        </w:rPr>
        <w:t>在开展推荐基金份额挂牌等有关业务时，按上股交相关规定</w:t>
      </w:r>
      <w:r>
        <w:rPr>
          <w:rFonts w:hint="eastAsia" w:ascii="仿宋" w:hAnsi="仿宋" w:eastAsia="仿宋" w:cs="仿宋_GB2312"/>
          <w:kern w:val="0"/>
          <w:sz w:val="28"/>
          <w:szCs w:val="28"/>
        </w:rPr>
        <w:t>设立项目小组，配备符合要求的项目人员，遵循审慎原则，</w:t>
      </w:r>
      <w:r>
        <w:rPr>
          <w:rFonts w:hint="eastAsia" w:hAnsi="仿宋" w:eastAsia="仿宋"/>
          <w:color w:val="000000"/>
          <w:kern w:val="0"/>
          <w:sz w:val="28"/>
          <w:szCs w:val="28"/>
        </w:rPr>
        <w:t>认真履行尽职调查职责和内部审核程序，</w:t>
      </w:r>
      <w:r>
        <w:rPr>
          <w:rFonts w:hint="eastAsia" w:ascii="仿宋" w:hAnsi="仿宋" w:eastAsia="仿宋" w:cs="仿宋_GB2312"/>
          <w:kern w:val="0"/>
          <w:sz w:val="28"/>
          <w:szCs w:val="28"/>
        </w:rPr>
        <w:t>向上股交报送相关业务申请文件，并承担相应责任。</w:t>
      </w:r>
    </w:p>
    <w:p w14:paraId="2EA3CF2E">
      <w:pPr>
        <w:autoSpaceDE w:val="0"/>
        <w:autoSpaceDN w:val="0"/>
        <w:adjustRightInd w:val="0"/>
        <w:ind w:firstLine="560" w:firstLineChars="200"/>
        <w:jc w:val="left"/>
        <w:rPr>
          <w:rFonts w:hAnsi="仿宋" w:eastAsia="仿宋"/>
          <w:color w:val="000000"/>
          <w:kern w:val="0"/>
          <w:sz w:val="28"/>
          <w:szCs w:val="28"/>
        </w:rPr>
      </w:pPr>
      <w:r>
        <w:rPr>
          <w:rFonts w:hint="eastAsia" w:ascii="仿宋" w:hAnsi="仿宋" w:eastAsia="仿宋" w:cs="仿宋_GB2312"/>
          <w:kern w:val="0"/>
          <w:sz w:val="28"/>
          <w:szCs w:val="28"/>
        </w:rPr>
        <w:t>（二）对基金份额持有人及其他有关责任人进行</w:t>
      </w:r>
      <w:r>
        <w:rPr>
          <w:rFonts w:hint="eastAsia" w:hAnsi="仿宋" w:eastAsia="仿宋"/>
          <w:color w:val="000000"/>
          <w:kern w:val="0"/>
          <w:sz w:val="28"/>
          <w:szCs w:val="28"/>
        </w:rPr>
        <w:t>辅导及持续督导，使其充分了解有关法律法规、政策性规定、上股交有关规定和挂牌协议书所约定的权利、义务和责任。</w:t>
      </w:r>
    </w:p>
    <w:p w14:paraId="6E31DD5F">
      <w:pPr>
        <w:autoSpaceDE w:val="0"/>
        <w:autoSpaceDN w:val="0"/>
        <w:adjustRightInd w:val="0"/>
        <w:ind w:firstLine="560" w:firstLineChars="200"/>
        <w:jc w:val="left"/>
        <w:rPr>
          <w:rFonts w:hAnsi="仿宋" w:eastAsia="仿宋"/>
          <w:color w:val="000000"/>
          <w:kern w:val="0"/>
          <w:sz w:val="28"/>
          <w:szCs w:val="28"/>
        </w:rPr>
      </w:pPr>
      <w:r>
        <w:rPr>
          <w:rFonts w:hint="eastAsia" w:hAnsi="仿宋" w:eastAsia="仿宋"/>
          <w:color w:val="000000"/>
          <w:kern w:val="0"/>
          <w:sz w:val="28"/>
          <w:szCs w:val="28"/>
        </w:rPr>
        <w:t>（三）发现基金份额持有人、基金管理人存在违法、违规行为或存在对基金份额转让可能产生较大影响的风险事件时，应及时警示基金份额持有人、基金管理人，并同时报告上股交。</w:t>
      </w:r>
    </w:p>
    <w:p w14:paraId="22B3D59E">
      <w:pPr>
        <w:autoSpaceDE w:val="0"/>
        <w:autoSpaceDN w:val="0"/>
        <w:adjustRightInd w:val="0"/>
        <w:ind w:firstLine="560" w:firstLineChars="200"/>
        <w:jc w:val="left"/>
        <w:rPr>
          <w:rFonts w:ascii="仿宋" w:hAnsi="仿宋" w:eastAsia="仿宋" w:cs="仿宋_GB2312"/>
          <w:kern w:val="0"/>
          <w:sz w:val="28"/>
          <w:szCs w:val="28"/>
        </w:rPr>
      </w:pPr>
      <w:r>
        <w:rPr>
          <w:rFonts w:hint="eastAsia" w:hAnsi="仿宋" w:eastAsia="仿宋"/>
          <w:color w:val="000000"/>
          <w:kern w:val="0"/>
          <w:sz w:val="28"/>
          <w:szCs w:val="28"/>
        </w:rPr>
        <w:t>（四）</w:t>
      </w:r>
      <w:r>
        <w:rPr>
          <w:rFonts w:hint="eastAsia" w:ascii="仿宋" w:hAnsi="仿宋" w:eastAsia="仿宋" w:cs="仿宋_GB2312"/>
          <w:kern w:val="0"/>
          <w:sz w:val="28"/>
          <w:szCs w:val="28"/>
        </w:rPr>
        <w:t>认真编制推荐基金份额挂牌的相关业务申请文件，保证其真实、准确、完整、合法、有效，不存在任何虚假记载、误导性陈述和重大遗漏。</w:t>
      </w:r>
    </w:p>
    <w:p w14:paraId="727F9BFE">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（五）积极协助基金份额持有人、基金管理人完成基金份额挂牌程序。</w:t>
      </w:r>
    </w:p>
    <w:p w14:paraId="1DF9950E">
      <w:pPr>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（六）勤勉尽责地为上股交投资者提供协助开户、基金份额买卖居间介绍、投资咨询等业务服务，认真审核投资者身份及开户资料，及时向上股交报送相关资料，并承担相应责任。</w:t>
      </w:r>
    </w:p>
    <w:p w14:paraId="2CE4923A">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（七）了解投资者身份、财务状况、证券投资经验等有关信息，评估投资者的风险识别能力和风险承受能力，</w:t>
      </w:r>
      <w:r>
        <w:rPr>
          <w:rFonts w:hint="eastAsia" w:hAnsi="仿宋" w:eastAsia="仿宋"/>
          <w:color w:val="000000"/>
          <w:sz w:val="28"/>
          <w:szCs w:val="28"/>
        </w:rPr>
        <w:t>有针对性地开展风险揭示、投资者知识普及、投资者服务等工作，引导投资者审慎参与基金份额转让等业务</w:t>
      </w:r>
      <w:r>
        <w:rPr>
          <w:rFonts w:hint="eastAsia" w:ascii="仿宋" w:hAnsi="仿宋" w:eastAsia="仿宋"/>
          <w:sz w:val="28"/>
          <w:szCs w:val="28"/>
        </w:rPr>
        <w:t>，不向投资者作获利保证、共担风险等承诺，不作虚假性宣传和误导性陈述，并为投资者提供相匹配的后续服务</w:t>
      </w:r>
      <w:r>
        <w:rPr>
          <w:rFonts w:hint="eastAsia" w:ascii="仿宋" w:hAnsi="仿宋" w:eastAsia="仿宋" w:cs="仿宋_GB2312"/>
          <w:kern w:val="0"/>
          <w:sz w:val="28"/>
          <w:szCs w:val="28"/>
        </w:rPr>
        <w:t>。</w:t>
      </w:r>
    </w:p>
    <w:p w14:paraId="082C255C">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（八）不委托第三方代为开展私募基金份额转让服务业务。</w:t>
      </w:r>
    </w:p>
    <w:p w14:paraId="31A2F60F">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ascii="仿宋" w:hAnsi="仿宋" w:eastAsia="仿宋" w:cs="仿宋_GB2312"/>
          <w:kern w:val="0"/>
          <w:sz w:val="28"/>
          <w:szCs w:val="28"/>
        </w:rPr>
        <w:t>（九）</w:t>
      </w:r>
      <w:r>
        <w:rPr>
          <w:rFonts w:ascii="仿宋" w:hAnsi="仿宋" w:eastAsia="仿宋" w:cs="仿宋_GB2312"/>
          <w:kern w:val="0"/>
          <w:sz w:val="28"/>
          <w:szCs w:val="28"/>
        </w:rPr>
        <w:t>除司法机关、外部审计机构及法律法规规定的其他有权部门依照国家有关法律法规、政策性规定及</w:t>
      </w:r>
      <w:r>
        <w:rPr>
          <w:rFonts w:hint="eastAsia" w:ascii="仿宋" w:hAnsi="仿宋" w:eastAsia="仿宋" w:cs="仿宋_GB2312"/>
          <w:kern w:val="0"/>
          <w:sz w:val="28"/>
          <w:szCs w:val="28"/>
        </w:rPr>
        <w:t>上股交</w:t>
      </w:r>
      <w:r>
        <w:rPr>
          <w:rFonts w:ascii="仿宋" w:hAnsi="仿宋" w:eastAsia="仿宋" w:cs="仿宋_GB2312"/>
          <w:kern w:val="0"/>
          <w:sz w:val="28"/>
          <w:szCs w:val="28"/>
        </w:rPr>
        <w:t>根据业务规则要求查询外，不得向其他第三方提供所</w:t>
      </w:r>
      <w:r>
        <w:rPr>
          <w:rFonts w:hint="eastAsia" w:ascii="仿宋" w:hAnsi="仿宋" w:eastAsia="仿宋" w:cs="仿宋_GB2312"/>
          <w:kern w:val="0"/>
          <w:sz w:val="28"/>
          <w:szCs w:val="28"/>
        </w:rPr>
        <w:t>服务</w:t>
      </w:r>
      <w:r>
        <w:rPr>
          <w:rFonts w:ascii="仿宋" w:hAnsi="仿宋" w:eastAsia="仿宋" w:cs="仿宋_GB2312"/>
          <w:kern w:val="0"/>
          <w:sz w:val="28"/>
          <w:szCs w:val="28"/>
        </w:rPr>
        <w:t xml:space="preserve">投资者的相关信息。 </w:t>
      </w:r>
    </w:p>
    <w:p w14:paraId="2E36155D">
      <w:pPr>
        <w:tabs>
          <w:tab w:val="left" w:pos="1470"/>
        </w:tabs>
        <w:autoSpaceDE w:val="0"/>
        <w:autoSpaceDN w:val="0"/>
        <w:adjustRightInd w:val="0"/>
        <w:ind w:firstLine="560" w:firstLineChars="200"/>
        <w:jc w:val="left"/>
        <w:rPr>
          <w:rFonts w:hAnsi="仿宋" w:eastAsia="仿宋"/>
          <w:color w:val="000000"/>
          <w:sz w:val="28"/>
          <w:szCs w:val="28"/>
        </w:rPr>
      </w:pPr>
      <w:r>
        <w:rPr>
          <w:rFonts w:hint="eastAsia" w:ascii="仿宋" w:hAnsi="仿宋" w:eastAsia="仿宋" w:cs="仿宋_GB2312"/>
          <w:kern w:val="0"/>
          <w:sz w:val="28"/>
          <w:szCs w:val="28"/>
        </w:rPr>
        <w:t>（十）</w:t>
      </w:r>
      <w:r>
        <w:rPr>
          <w:rFonts w:hint="eastAsia" w:hAnsi="仿宋" w:eastAsia="仿宋"/>
          <w:color w:val="000000"/>
          <w:sz w:val="28"/>
          <w:szCs w:val="28"/>
        </w:rPr>
        <w:t>监控挂牌基金份额转让情况，关注投资者的投资行为，发现投资者存在异常投资或违规行为的，及时予以警示并向上股交报告。</w:t>
      </w:r>
    </w:p>
    <w:p w14:paraId="2E7C811D">
      <w:pPr>
        <w:tabs>
          <w:tab w:val="left" w:pos="1470"/>
        </w:tabs>
        <w:autoSpaceDE w:val="0"/>
        <w:autoSpaceDN w:val="0"/>
        <w:adjustRightInd w:val="0"/>
        <w:ind w:firstLine="560" w:firstLineChars="200"/>
        <w:jc w:val="left"/>
        <w:rPr>
          <w:rFonts w:hAnsi="仿宋" w:eastAsia="仿宋"/>
          <w:color w:val="000000"/>
          <w:sz w:val="28"/>
          <w:szCs w:val="28"/>
        </w:rPr>
      </w:pPr>
      <w:r>
        <w:rPr>
          <w:rFonts w:hint="eastAsia" w:hAnsi="仿宋" w:eastAsia="仿宋"/>
          <w:color w:val="000000"/>
          <w:sz w:val="28"/>
          <w:szCs w:val="28"/>
        </w:rPr>
        <w:t>（十一）按上股交相关规定，妥善保管申报记录和凭证。</w:t>
      </w:r>
    </w:p>
    <w:p w14:paraId="1571116B">
      <w:pPr>
        <w:tabs>
          <w:tab w:val="left" w:pos="1470"/>
        </w:tabs>
        <w:autoSpaceDE w:val="0"/>
        <w:autoSpaceDN w:val="0"/>
        <w:adjustRightInd w:val="0"/>
        <w:ind w:firstLine="560" w:firstLineChars="200"/>
        <w:jc w:val="left"/>
        <w:rPr>
          <w:rFonts w:ascii="仿宋" w:hAnsi="仿宋" w:eastAsia="仿宋" w:cs="仿宋_GB2312"/>
          <w:kern w:val="0"/>
          <w:sz w:val="28"/>
          <w:szCs w:val="28"/>
        </w:rPr>
      </w:pPr>
      <w:r>
        <w:rPr>
          <w:rFonts w:hint="eastAsia" w:hAnsi="仿宋" w:eastAsia="仿宋"/>
          <w:color w:val="000000"/>
          <w:sz w:val="28"/>
          <w:szCs w:val="28"/>
        </w:rPr>
        <w:t>（十二）规范业务推广和客户招揽行为，保证不对服务能力和过往业绩进行虚假、不实、误导性的营销宣传，保证不以任何方式承诺或者保证投资收益。</w:t>
      </w:r>
    </w:p>
    <w:p w14:paraId="15F51FCE">
      <w:pPr>
        <w:autoSpaceDE w:val="0"/>
        <w:autoSpaceDN w:val="0"/>
        <w:adjustRightInd w:val="0"/>
        <w:ind w:firstLine="562" w:firstLineChars="200"/>
        <w:jc w:val="left"/>
        <w:rPr>
          <w:rFonts w:ascii="仿宋" w:hAnsi="仿宋" w:eastAsia="仿宋" w:cs="仿宋_GB2312"/>
          <w:b/>
          <w:kern w:val="0"/>
          <w:sz w:val="28"/>
          <w:szCs w:val="28"/>
        </w:rPr>
      </w:pPr>
      <w:r>
        <w:rPr>
          <w:rFonts w:hint="eastAsia" w:ascii="仿宋" w:hAnsi="仿宋" w:eastAsia="仿宋" w:cs="仿宋_GB2312"/>
          <w:b/>
          <w:kern w:val="0"/>
          <w:sz w:val="28"/>
          <w:szCs w:val="28"/>
        </w:rPr>
        <w:t>三、信息发布</w:t>
      </w:r>
    </w:p>
    <w:p w14:paraId="355AC018">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（一）指导和督促基金份额持有人、基金管理人及有关责任人，规范履行信息发布义务。</w:t>
      </w:r>
    </w:p>
    <w:p w14:paraId="0985A415">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（二）严格按照要求督促基金份额持有人、基金管理人及有关责任人在指定场所发布相关信息。</w:t>
      </w:r>
    </w:p>
    <w:p w14:paraId="6ED8EEE5">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（三）对基金份额持有人、基金管理人的信息发布文件进行事前审查，</w:t>
      </w:r>
      <w:r>
        <w:rPr>
          <w:rFonts w:hint="eastAsia" w:eastAsia="仿宋"/>
          <w:sz w:val="28"/>
          <w:szCs w:val="28"/>
        </w:rPr>
        <w:t>对已发布的文件进行事后核对，发现发布的信息存在虚假记载、误导性陈述或重大遗漏的，或发现存在应发布而未发布事项的，要求</w:t>
      </w:r>
      <w:r>
        <w:rPr>
          <w:rFonts w:hint="eastAsia" w:ascii="仿宋" w:hAnsi="仿宋" w:eastAsia="仿宋" w:cs="仿宋_GB2312"/>
          <w:kern w:val="0"/>
          <w:sz w:val="28"/>
          <w:szCs w:val="28"/>
        </w:rPr>
        <w:t>基金份额持有人、基金管理人</w:t>
      </w:r>
      <w:r>
        <w:rPr>
          <w:rFonts w:hint="eastAsia" w:eastAsia="仿宋"/>
          <w:sz w:val="28"/>
          <w:szCs w:val="28"/>
        </w:rPr>
        <w:t>进行更正或补充</w:t>
      </w:r>
      <w:r>
        <w:rPr>
          <w:rFonts w:hint="eastAsia" w:ascii="仿宋" w:hAnsi="仿宋" w:eastAsia="仿宋" w:cs="仿宋_GB2312"/>
          <w:kern w:val="0"/>
          <w:sz w:val="28"/>
          <w:szCs w:val="28"/>
        </w:rPr>
        <w:t>。</w:t>
      </w:r>
    </w:p>
    <w:p w14:paraId="36293E1E">
      <w:pPr>
        <w:autoSpaceDE w:val="0"/>
        <w:autoSpaceDN w:val="0"/>
        <w:adjustRightInd w:val="0"/>
        <w:ind w:firstLine="540" w:firstLineChars="192"/>
        <w:jc w:val="left"/>
        <w:rPr>
          <w:rFonts w:ascii="仿宋" w:hAnsi="仿宋" w:eastAsia="仿宋" w:cs="仿宋_GB2312"/>
          <w:b/>
          <w:kern w:val="0"/>
          <w:sz w:val="28"/>
          <w:szCs w:val="28"/>
        </w:rPr>
      </w:pPr>
      <w:r>
        <w:rPr>
          <w:rFonts w:hint="eastAsia" w:ascii="仿宋" w:hAnsi="仿宋" w:eastAsia="仿宋" w:cs="仿宋_GB2312"/>
          <w:b/>
          <w:kern w:val="0"/>
          <w:sz w:val="28"/>
          <w:szCs w:val="28"/>
        </w:rPr>
        <w:t>四、其他</w:t>
      </w:r>
    </w:p>
    <w:p w14:paraId="1B7EB745">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（一）积极配合上股交对本公司/本单位相关工作及业务资格条件具备情况的检查、核查，不阻挠或人为制造障碍，认真执行上股交的整改要求。</w:t>
      </w:r>
    </w:p>
    <w:p w14:paraId="53C7DCB3">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（二）根据上股交的要求，调查或协助调查指定事项，并将调查结果及时报告上股交。</w:t>
      </w:r>
    </w:p>
    <w:p w14:paraId="6989BF9B">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（三）因违反上股交相关规则或本承诺给上股交或者相关投资者造成损失的，自愿承担相应赔偿责任。</w:t>
      </w:r>
    </w:p>
    <w:p w14:paraId="17418F52">
      <w:pPr>
        <w:autoSpaceDE w:val="0"/>
        <w:autoSpaceDN w:val="0"/>
        <w:adjustRightInd w:val="0"/>
        <w:ind w:firstLine="537" w:firstLineChars="192"/>
        <w:jc w:val="left"/>
        <w:rPr>
          <w:rFonts w:ascii="仿宋" w:hAnsi="仿宋" w:eastAsia="仿宋" w:cs="仿宋_GB2312"/>
          <w:kern w:val="0"/>
          <w:sz w:val="28"/>
          <w:szCs w:val="28"/>
        </w:rPr>
      </w:pPr>
      <w:r>
        <w:rPr>
          <w:rFonts w:hint="eastAsia" w:hAnsi="仿宋" w:eastAsia="仿宋"/>
          <w:color w:val="000000"/>
          <w:sz w:val="28"/>
          <w:szCs w:val="28"/>
        </w:rPr>
        <w:t>（四）填报的《中介机构基本情况申报表》及其他信息发生变更时，及时报告上股交并进行更新。</w:t>
      </w:r>
    </w:p>
    <w:p w14:paraId="5C582FE2">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（五）做好上股交要求的其他相关工作。</w:t>
      </w:r>
    </w:p>
    <w:p w14:paraId="281BB5B9">
      <w:pPr>
        <w:autoSpaceDE w:val="0"/>
        <w:autoSpaceDN w:val="0"/>
        <w:adjustRightInd w:val="0"/>
        <w:ind w:firstLine="537" w:firstLineChars="192"/>
        <w:jc w:val="left"/>
        <w:rPr>
          <w:rFonts w:ascii="仿宋" w:hAnsi="仿宋" w:eastAsia="仿宋" w:cs="仿宋_GB2312"/>
          <w:kern w:val="0"/>
          <w:sz w:val="28"/>
          <w:szCs w:val="28"/>
        </w:rPr>
      </w:pPr>
      <w:r>
        <w:rPr>
          <w:rFonts w:hint="eastAsia" w:ascii="仿宋" w:hAnsi="仿宋" w:eastAsia="仿宋" w:cs="仿宋_GB2312"/>
          <w:kern w:val="0"/>
          <w:sz w:val="28"/>
          <w:szCs w:val="28"/>
        </w:rPr>
        <w:t>本公司/本单位保证遵守以上承诺，严格自律，勤勉尽责地开展上股交相关业务，维护挂牌公司和投资者合法权益，接受上股交的监督管理，并对此承担相应责任。</w:t>
      </w:r>
    </w:p>
    <w:p w14:paraId="25B4FF41">
      <w:pPr>
        <w:autoSpaceDE w:val="0"/>
        <w:autoSpaceDN w:val="0"/>
        <w:adjustRightInd w:val="0"/>
        <w:ind w:firstLine="537" w:firstLineChars="192"/>
        <w:jc w:val="left"/>
        <w:rPr>
          <w:rFonts w:ascii="仿宋" w:hAnsi="仿宋" w:eastAsia="仿宋" w:cs="仿宋_GB2312"/>
          <w:kern w:val="0"/>
          <w:sz w:val="28"/>
          <w:szCs w:val="28"/>
        </w:rPr>
      </w:pPr>
    </w:p>
    <w:p w14:paraId="465CFA0B">
      <w:pPr>
        <w:autoSpaceDE w:val="0"/>
        <w:autoSpaceDN w:val="0"/>
        <w:adjustRightInd w:val="0"/>
        <w:jc w:val="center"/>
        <w:rPr>
          <w:rFonts w:ascii="仿宋" w:hAnsi="仿宋" w:eastAsia="仿宋" w:cs="仿宋_GB2312"/>
          <w:kern w:val="0"/>
          <w:sz w:val="28"/>
          <w:szCs w:val="28"/>
        </w:rPr>
      </w:pPr>
      <w:r>
        <w:rPr>
          <w:rFonts w:hint="eastAsia" w:ascii="仿宋" w:hAnsi="仿宋" w:eastAsia="仿宋" w:cs="仿宋_GB2312"/>
          <w:kern w:val="0"/>
          <w:sz w:val="28"/>
          <w:szCs w:val="28"/>
        </w:rPr>
        <w:t xml:space="preserve">            承诺人（公章）：</w:t>
      </w:r>
    </w:p>
    <w:p w14:paraId="3AAEA628">
      <w:pPr>
        <w:autoSpaceDE w:val="0"/>
        <w:autoSpaceDN w:val="0"/>
        <w:adjustRightInd w:val="0"/>
        <w:rPr>
          <w:rFonts w:ascii="仿宋" w:hAnsi="仿宋" w:eastAsia="仿宋" w:cs="仿宋_GB2312"/>
          <w:kern w:val="0"/>
          <w:sz w:val="28"/>
          <w:szCs w:val="28"/>
        </w:rPr>
      </w:pPr>
      <w:r>
        <w:rPr>
          <w:rFonts w:hint="eastAsia" w:ascii="仿宋" w:hAnsi="仿宋" w:eastAsia="仿宋" w:cs="仿宋_GB2312"/>
          <w:kern w:val="0"/>
          <w:sz w:val="28"/>
          <w:szCs w:val="28"/>
        </w:rPr>
        <w:t>法定代表人/执行事务</w:t>
      </w:r>
      <w:bookmarkStart w:id="0" w:name="_GoBack"/>
      <w:bookmarkEnd w:id="0"/>
      <w:r>
        <w:rPr>
          <w:rFonts w:hint="eastAsia" w:ascii="仿宋" w:hAnsi="仿宋" w:eastAsia="仿宋" w:cs="仿宋_GB2312"/>
          <w:kern w:val="0"/>
          <w:sz w:val="28"/>
          <w:szCs w:val="28"/>
        </w:rPr>
        <w:t>合伙人/负责人（签字）：</w:t>
      </w:r>
    </w:p>
    <w:p w14:paraId="0415F277">
      <w:pPr>
        <w:autoSpaceDE w:val="0"/>
        <w:autoSpaceDN w:val="0"/>
        <w:adjustRightInd w:val="0"/>
        <w:jc w:val="center"/>
        <w:rPr>
          <w:rFonts w:ascii="仿宋" w:hAnsi="仿宋" w:eastAsia="仿宋" w:cs="仿宋_GB2312"/>
          <w:kern w:val="0"/>
          <w:sz w:val="28"/>
          <w:szCs w:val="28"/>
        </w:rPr>
      </w:pPr>
    </w:p>
    <w:p w14:paraId="2423D143">
      <w:pPr>
        <w:wordWrap w:val="0"/>
        <w:jc w:val="right"/>
        <w:rPr>
          <w:rFonts w:ascii="仿宋" w:hAnsi="仿宋" w:eastAsia="仿宋" w:cs="仿宋_GB2312"/>
          <w:kern w:val="0"/>
          <w:sz w:val="28"/>
          <w:szCs w:val="28"/>
        </w:rPr>
      </w:pPr>
      <w:r>
        <w:rPr>
          <w:rFonts w:hint="eastAsia" w:ascii="仿宋" w:hAnsi="仿宋" w:eastAsia="仿宋" w:cs="仿宋_GB2312"/>
          <w:kern w:val="0"/>
          <w:sz w:val="28"/>
          <w:szCs w:val="28"/>
        </w:rPr>
        <w:t>年     月     日</w:t>
      </w:r>
    </w:p>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B8046">
    <w:pPr>
      <w:pStyle w:val="4"/>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5</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53E0B">
    <w:pPr>
      <w:pStyle w:val="4"/>
      <w:jc w:val="center"/>
    </w:pPr>
    <w:r>
      <w:fldChar w:fldCharType="begin"/>
    </w:r>
    <w:r>
      <w:instrText xml:space="preserve"> PAGE   \* MERGEFORMAT </w:instrText>
    </w:r>
    <w:r>
      <w:fldChar w:fldCharType="separate"/>
    </w:r>
    <w:r>
      <w:t>1</w:t>
    </w:r>
    <w:r>
      <w:fldChar w:fldCharType="end"/>
    </w:r>
  </w:p>
  <w:p w14:paraId="7195CB4C">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53DF2">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D0C9A"/>
    <w:rsid w:val="0002742E"/>
    <w:rsid w:val="00040EA9"/>
    <w:rsid w:val="0004338F"/>
    <w:rsid w:val="00053FE1"/>
    <w:rsid w:val="00063342"/>
    <w:rsid w:val="00074A70"/>
    <w:rsid w:val="000B12DA"/>
    <w:rsid w:val="000C07EF"/>
    <w:rsid w:val="000D0C9A"/>
    <w:rsid w:val="000E7248"/>
    <w:rsid w:val="000F18D0"/>
    <w:rsid w:val="00124A96"/>
    <w:rsid w:val="001314C5"/>
    <w:rsid w:val="00131FE6"/>
    <w:rsid w:val="0015194C"/>
    <w:rsid w:val="00167573"/>
    <w:rsid w:val="001704A1"/>
    <w:rsid w:val="00175536"/>
    <w:rsid w:val="00193805"/>
    <w:rsid w:val="001B1AB6"/>
    <w:rsid w:val="001B67B7"/>
    <w:rsid w:val="001C31E9"/>
    <w:rsid w:val="001E0032"/>
    <w:rsid w:val="001E3B10"/>
    <w:rsid w:val="00202BE1"/>
    <w:rsid w:val="0021190C"/>
    <w:rsid w:val="0025164C"/>
    <w:rsid w:val="00260D77"/>
    <w:rsid w:val="00286362"/>
    <w:rsid w:val="002C6A3C"/>
    <w:rsid w:val="002E1331"/>
    <w:rsid w:val="00326953"/>
    <w:rsid w:val="00327450"/>
    <w:rsid w:val="00383B8D"/>
    <w:rsid w:val="00393126"/>
    <w:rsid w:val="003A4476"/>
    <w:rsid w:val="003A4A64"/>
    <w:rsid w:val="003C1ED5"/>
    <w:rsid w:val="004109B8"/>
    <w:rsid w:val="004261D7"/>
    <w:rsid w:val="0043067D"/>
    <w:rsid w:val="00444231"/>
    <w:rsid w:val="00462FFC"/>
    <w:rsid w:val="00465BF3"/>
    <w:rsid w:val="00474F3F"/>
    <w:rsid w:val="00483F7A"/>
    <w:rsid w:val="00484800"/>
    <w:rsid w:val="0049346A"/>
    <w:rsid w:val="004960D1"/>
    <w:rsid w:val="00497C82"/>
    <w:rsid w:val="004A7D7B"/>
    <w:rsid w:val="004C2211"/>
    <w:rsid w:val="004F68ED"/>
    <w:rsid w:val="004F7F57"/>
    <w:rsid w:val="00514585"/>
    <w:rsid w:val="00516C0D"/>
    <w:rsid w:val="00520738"/>
    <w:rsid w:val="0052323B"/>
    <w:rsid w:val="00544A80"/>
    <w:rsid w:val="00552346"/>
    <w:rsid w:val="0056485D"/>
    <w:rsid w:val="00581CD6"/>
    <w:rsid w:val="00583BD8"/>
    <w:rsid w:val="0059439C"/>
    <w:rsid w:val="005B2861"/>
    <w:rsid w:val="005D365E"/>
    <w:rsid w:val="00620DDE"/>
    <w:rsid w:val="00652174"/>
    <w:rsid w:val="006703F6"/>
    <w:rsid w:val="00671430"/>
    <w:rsid w:val="00680CA6"/>
    <w:rsid w:val="00696FFD"/>
    <w:rsid w:val="006A5CCC"/>
    <w:rsid w:val="006A791E"/>
    <w:rsid w:val="006C3BA8"/>
    <w:rsid w:val="006E3168"/>
    <w:rsid w:val="006E424B"/>
    <w:rsid w:val="006F477A"/>
    <w:rsid w:val="00703A3E"/>
    <w:rsid w:val="00735EDC"/>
    <w:rsid w:val="00757886"/>
    <w:rsid w:val="00766D4C"/>
    <w:rsid w:val="007770BD"/>
    <w:rsid w:val="0078476B"/>
    <w:rsid w:val="007A1B4A"/>
    <w:rsid w:val="007B5186"/>
    <w:rsid w:val="007B7872"/>
    <w:rsid w:val="007C618C"/>
    <w:rsid w:val="007F0D70"/>
    <w:rsid w:val="00812EC7"/>
    <w:rsid w:val="00816337"/>
    <w:rsid w:val="008217AF"/>
    <w:rsid w:val="00821E42"/>
    <w:rsid w:val="00823C8C"/>
    <w:rsid w:val="008359D4"/>
    <w:rsid w:val="00835AC3"/>
    <w:rsid w:val="008366B6"/>
    <w:rsid w:val="00854363"/>
    <w:rsid w:val="0088358F"/>
    <w:rsid w:val="00893AC4"/>
    <w:rsid w:val="008B57D6"/>
    <w:rsid w:val="008E6F33"/>
    <w:rsid w:val="008F5AF6"/>
    <w:rsid w:val="008F607D"/>
    <w:rsid w:val="00900CF5"/>
    <w:rsid w:val="0091069E"/>
    <w:rsid w:val="009202D0"/>
    <w:rsid w:val="009271D5"/>
    <w:rsid w:val="009376E4"/>
    <w:rsid w:val="009467EC"/>
    <w:rsid w:val="00951C00"/>
    <w:rsid w:val="009558C8"/>
    <w:rsid w:val="00967737"/>
    <w:rsid w:val="00987758"/>
    <w:rsid w:val="00995862"/>
    <w:rsid w:val="00997290"/>
    <w:rsid w:val="009B27BC"/>
    <w:rsid w:val="009D3975"/>
    <w:rsid w:val="00A003EE"/>
    <w:rsid w:val="00A013B1"/>
    <w:rsid w:val="00A04238"/>
    <w:rsid w:val="00A061AC"/>
    <w:rsid w:val="00A1091C"/>
    <w:rsid w:val="00A11DF8"/>
    <w:rsid w:val="00A13747"/>
    <w:rsid w:val="00A43753"/>
    <w:rsid w:val="00A5684F"/>
    <w:rsid w:val="00A77090"/>
    <w:rsid w:val="00AA0C99"/>
    <w:rsid w:val="00AB31B7"/>
    <w:rsid w:val="00AE7C3F"/>
    <w:rsid w:val="00AF6912"/>
    <w:rsid w:val="00AF7795"/>
    <w:rsid w:val="00B01EF7"/>
    <w:rsid w:val="00B1512E"/>
    <w:rsid w:val="00B22457"/>
    <w:rsid w:val="00B56744"/>
    <w:rsid w:val="00B62E06"/>
    <w:rsid w:val="00B9023A"/>
    <w:rsid w:val="00B9057A"/>
    <w:rsid w:val="00C1402F"/>
    <w:rsid w:val="00C14205"/>
    <w:rsid w:val="00C52C35"/>
    <w:rsid w:val="00C609CF"/>
    <w:rsid w:val="00C622E0"/>
    <w:rsid w:val="00C64B2D"/>
    <w:rsid w:val="00C73BAF"/>
    <w:rsid w:val="00C9073F"/>
    <w:rsid w:val="00C92941"/>
    <w:rsid w:val="00CC0AE6"/>
    <w:rsid w:val="00D037D4"/>
    <w:rsid w:val="00D1628F"/>
    <w:rsid w:val="00D3543C"/>
    <w:rsid w:val="00D51223"/>
    <w:rsid w:val="00D60E08"/>
    <w:rsid w:val="00D76256"/>
    <w:rsid w:val="00D9006D"/>
    <w:rsid w:val="00D975F9"/>
    <w:rsid w:val="00DA721E"/>
    <w:rsid w:val="00DB324E"/>
    <w:rsid w:val="00DD6C3B"/>
    <w:rsid w:val="00DF5C27"/>
    <w:rsid w:val="00DF7E28"/>
    <w:rsid w:val="00E041E3"/>
    <w:rsid w:val="00E166A4"/>
    <w:rsid w:val="00E20012"/>
    <w:rsid w:val="00E41079"/>
    <w:rsid w:val="00E44971"/>
    <w:rsid w:val="00E629EF"/>
    <w:rsid w:val="00E81230"/>
    <w:rsid w:val="00E854B5"/>
    <w:rsid w:val="00EA6F15"/>
    <w:rsid w:val="00EB10F1"/>
    <w:rsid w:val="00EC1165"/>
    <w:rsid w:val="00ED132C"/>
    <w:rsid w:val="00EF401C"/>
    <w:rsid w:val="00F03A4D"/>
    <w:rsid w:val="00F04AE5"/>
    <w:rsid w:val="00F15BC2"/>
    <w:rsid w:val="00F2077F"/>
    <w:rsid w:val="00F42D0B"/>
    <w:rsid w:val="00F44F46"/>
    <w:rsid w:val="00F45BFD"/>
    <w:rsid w:val="00F62B65"/>
    <w:rsid w:val="00F74A17"/>
    <w:rsid w:val="00F8263D"/>
    <w:rsid w:val="00F84E84"/>
    <w:rsid w:val="00FA08AC"/>
    <w:rsid w:val="00FD2D1A"/>
    <w:rsid w:val="00FD76D3"/>
    <w:rsid w:val="00FE58F0"/>
    <w:rsid w:val="00FF002C"/>
    <w:rsid w:val="00FF6BE1"/>
    <w:rsid w:val="2EE252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iPriority w:val="0"/>
    <w:pPr>
      <w:jc w:val="left"/>
    </w:pPr>
  </w:style>
  <w:style w:type="paragraph" w:styleId="3">
    <w:name w:val="Balloon Text"/>
    <w:basedOn w:val="1"/>
    <w:link w:val="14"/>
    <w:semiHidden/>
    <w:unhideWhenUsed/>
    <w:uiPriority w:val="99"/>
    <w:rPr>
      <w:sz w:val="18"/>
      <w:szCs w:val="18"/>
    </w:rPr>
  </w:style>
  <w:style w:type="paragraph" w:styleId="4">
    <w:name w:val="footer"/>
    <w:basedOn w:val="1"/>
    <w:link w:val="10"/>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uiPriority w:val="99"/>
    <w:rPr>
      <w:b/>
      <w:bCs/>
    </w:rPr>
  </w:style>
  <w:style w:type="character" w:styleId="9">
    <w:name w:val="annotation reference"/>
    <w:basedOn w:val="8"/>
    <w:semiHidden/>
    <w:unhideWhenUsed/>
    <w:uiPriority w:val="99"/>
    <w:rPr>
      <w:sz w:val="21"/>
      <w:szCs w:val="21"/>
    </w:rPr>
  </w:style>
  <w:style w:type="character" w:customStyle="1" w:styleId="10">
    <w:name w:val="页脚 Char"/>
    <w:basedOn w:val="8"/>
    <w:link w:val="4"/>
    <w:uiPriority w:val="0"/>
    <w:rPr>
      <w:sz w:val="18"/>
      <w:szCs w:val="18"/>
    </w:rPr>
  </w:style>
  <w:style w:type="character" w:customStyle="1" w:styleId="11">
    <w:name w:val="页眉 Char"/>
    <w:basedOn w:val="8"/>
    <w:link w:val="5"/>
    <w:uiPriority w:val="0"/>
    <w:rPr>
      <w:sz w:val="18"/>
      <w:szCs w:val="18"/>
    </w:rPr>
  </w:style>
  <w:style w:type="character" w:customStyle="1" w:styleId="12">
    <w:name w:val="页眉 Char1"/>
    <w:basedOn w:val="8"/>
    <w:semiHidden/>
    <w:uiPriority w:val="99"/>
    <w:rPr>
      <w:rFonts w:ascii="Times New Roman" w:hAnsi="Times New Roman" w:eastAsia="宋体" w:cs="Times New Roman"/>
      <w:sz w:val="18"/>
      <w:szCs w:val="18"/>
    </w:rPr>
  </w:style>
  <w:style w:type="character" w:customStyle="1" w:styleId="13">
    <w:name w:val="页脚 Char1"/>
    <w:basedOn w:val="8"/>
    <w:semiHidden/>
    <w:uiPriority w:val="99"/>
    <w:rPr>
      <w:rFonts w:ascii="Times New Roman" w:hAnsi="Times New Roman" w:eastAsia="宋体" w:cs="Times New Roman"/>
      <w:sz w:val="18"/>
      <w:szCs w:val="18"/>
    </w:rPr>
  </w:style>
  <w:style w:type="character" w:customStyle="1" w:styleId="14">
    <w:name w:val="批注框文本 Char"/>
    <w:basedOn w:val="8"/>
    <w:link w:val="3"/>
    <w:semiHidden/>
    <w:uiPriority w:val="99"/>
    <w:rPr>
      <w:rFonts w:ascii="Times New Roman" w:hAnsi="Times New Roman" w:eastAsia="宋体" w:cs="Times New Roman"/>
      <w:sz w:val="18"/>
      <w:szCs w:val="18"/>
    </w:rPr>
  </w:style>
  <w:style w:type="character" w:customStyle="1" w:styleId="15">
    <w:name w:val="批注文字 Char"/>
    <w:basedOn w:val="8"/>
    <w:link w:val="2"/>
    <w:uiPriority w:val="0"/>
    <w:rPr>
      <w:rFonts w:ascii="Times New Roman" w:hAnsi="Times New Roman" w:eastAsia="宋体" w:cs="Times New Roman"/>
      <w:szCs w:val="24"/>
    </w:rPr>
  </w:style>
  <w:style w:type="character" w:customStyle="1" w:styleId="16">
    <w:name w:val="批注主题 Char"/>
    <w:basedOn w:val="15"/>
    <w:link w:val="6"/>
    <w:semiHidden/>
    <w:uiPriority w:val="99"/>
    <w:rPr>
      <w:rFonts w:ascii="Times New Roman" w:hAnsi="Times New Roman" w:eastAsia="宋体" w:cs="Times New Roman"/>
      <w:b/>
      <w:bCs/>
      <w:szCs w:val="24"/>
    </w:rPr>
  </w:style>
  <w:style w:type="paragraph" w:customStyle="1" w:styleId="17">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1991</Words>
  <Characters>1995</Characters>
  <Lines>14</Lines>
  <Paragraphs>4</Paragraphs>
  <TotalTime>215</TotalTime>
  <ScaleCrop>false</ScaleCrop>
  <LinksUpToDate>false</LinksUpToDate>
  <CharactersWithSpaces>2018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2013-11-12T01:13:00Z</dcterms:created>
  <dc:creator>薛磊</dc:creator>
  <cp:lastModifiedBy>龚馨玥 </cp:lastModifiedBy>
  <dcterms:modified xsi:type="dcterms:W3CDTF">2026-06-11T06:27:07Z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eyJoZGlkIjoiYjQ0NmE3Mjk1M2YzYTExM2E2YzZmZmQyODE3OTEwMTgiLCJ1c2VySWQiOiIzNjM0OTU2NzUifQ==</vt:lpwstr>
  </property>
  <property fmtid="{D5CDD505-2E9C-101B-9397-08002B2CF9AE}" pid="3" name="KSOProductBuildVer">
    <vt:lpwstr>2052-12.1.0.26895</vt:lpwstr>
  </property>
  <property fmtid="{D5CDD505-2E9C-101B-9397-08002B2CF9AE}" pid="4" name="ICV">
    <vt:lpwstr>892950E2F20942E594CBCDAB55D16640_12</vt:lpwstr>
  </property>
</Properties>
</file>