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5029D5F">
      <w:pPr>
        <w:spacing w:line="360" w:lineRule="auto"/>
        <w:jc w:val="center"/>
        <w:rPr>
          <w:rFonts w:ascii="黑体" w:hAnsi="黑体" w:eastAsia="黑体" w:cs="黑体"/>
          <w:sz w:val="32"/>
          <w:szCs w:val="32"/>
        </w:rPr>
      </w:pPr>
      <w:r>
        <w:rPr>
          <w:rFonts w:hint="eastAsia" w:ascii="黑体" w:hAnsi="黑体" w:eastAsia="黑体" w:cs="黑体"/>
          <w:sz w:val="32"/>
          <w:szCs w:val="32"/>
        </w:rPr>
        <w:t>上海股权托管交易中心展示板基本信披层</w:t>
      </w:r>
    </w:p>
    <w:p w14:paraId="305C444B">
      <w:pPr>
        <w:spacing w:line="360" w:lineRule="auto"/>
        <w:jc w:val="center"/>
        <w:rPr>
          <w:rFonts w:ascii="黑体" w:hAnsi="黑体" w:eastAsia="黑体" w:cs="黑体"/>
          <w:sz w:val="32"/>
          <w:szCs w:val="32"/>
        </w:rPr>
      </w:pPr>
      <w:r>
        <w:rPr>
          <w:rFonts w:hint="eastAsia" w:ascii="黑体" w:hAnsi="黑体" w:eastAsia="黑体" w:cs="黑体"/>
          <w:sz w:val="32"/>
          <w:szCs w:val="32"/>
        </w:rPr>
        <w:t>推荐展示业务资格协议书</w:t>
      </w:r>
    </w:p>
    <w:p w14:paraId="5EB4B19C">
      <w:pPr>
        <w:spacing w:before="312" w:beforeLines="100" w:after="312" w:afterLines="100" w:line="360" w:lineRule="auto"/>
        <w:jc w:val="center"/>
        <w:rPr>
          <w:rFonts w:ascii="仿宋" w:hAnsi="仿宋" w:eastAsia="仿宋"/>
          <w:sz w:val="28"/>
          <w:szCs w:val="28"/>
        </w:rPr>
      </w:pPr>
    </w:p>
    <w:p w14:paraId="550E88A2">
      <w:pPr>
        <w:pStyle w:val="18"/>
        <w:spacing w:before="156" w:beforeLines="50" w:after="156" w:afterLines="50"/>
        <w:ind w:firstLine="0"/>
        <w:rPr>
          <w:rFonts w:ascii="仿宋" w:hAnsi="仿宋" w:eastAsia="仿宋"/>
          <w:sz w:val="28"/>
          <w:szCs w:val="28"/>
        </w:rPr>
      </w:pPr>
      <w:r>
        <w:rPr>
          <w:rFonts w:hint="eastAsia" w:ascii="仿宋" w:hAnsi="仿宋" w:eastAsia="仿宋"/>
          <w:sz w:val="28"/>
          <w:szCs w:val="28"/>
        </w:rPr>
        <w:t>本协议由以下各方在上海签订：</w:t>
      </w:r>
    </w:p>
    <w:p w14:paraId="299C9C53">
      <w:pPr>
        <w:pStyle w:val="24"/>
        <w:ind w:firstLine="0"/>
        <w:rPr>
          <w:rFonts w:hint="default" w:ascii="仿宋" w:hAnsi="仿宋" w:eastAsia="仿宋"/>
          <w:sz w:val="28"/>
        </w:rPr>
      </w:pPr>
      <w:r>
        <w:rPr>
          <w:rFonts w:ascii="仿宋" w:hAnsi="仿宋" w:eastAsia="仿宋"/>
          <w:sz w:val="28"/>
          <w:szCs w:val="28"/>
        </w:rPr>
        <w:t>甲      方：上海股权托管交易中心股份有限公司</w:t>
      </w:r>
    </w:p>
    <w:p w14:paraId="7825DE16">
      <w:pPr>
        <w:pStyle w:val="24"/>
        <w:ind w:firstLine="0"/>
        <w:rPr>
          <w:rFonts w:hint="default" w:ascii="仿宋" w:hAnsi="仿宋" w:eastAsia="仿宋"/>
          <w:sz w:val="28"/>
          <w:szCs w:val="28"/>
        </w:rPr>
      </w:pPr>
      <w:r>
        <w:rPr>
          <w:rFonts w:ascii="仿宋" w:hAnsi="仿宋" w:eastAsia="仿宋"/>
          <w:sz w:val="28"/>
          <w:szCs w:val="28"/>
        </w:rPr>
        <w:t>法定代表人：徐军</w:t>
      </w:r>
    </w:p>
    <w:p w14:paraId="5FC5EC33">
      <w:pPr>
        <w:pStyle w:val="24"/>
        <w:ind w:firstLine="0"/>
        <w:rPr>
          <w:rFonts w:hint="default" w:ascii="仿宋" w:hAnsi="仿宋" w:eastAsia="仿宋"/>
          <w:sz w:val="28"/>
          <w:szCs w:val="28"/>
        </w:rPr>
      </w:pPr>
      <w:r>
        <w:rPr>
          <w:rFonts w:ascii="仿宋" w:hAnsi="仿宋" w:eastAsia="仿宋"/>
          <w:sz w:val="28"/>
          <w:szCs w:val="28"/>
        </w:rPr>
        <w:t>住      所：上海市浦东新区张江高科技园区松涛路560号张江大厦</w:t>
      </w:r>
    </w:p>
    <w:p w14:paraId="47034442">
      <w:pPr>
        <w:pStyle w:val="24"/>
        <w:ind w:firstLine="560" w:firstLineChars="200"/>
        <w:rPr>
          <w:rFonts w:hint="default" w:ascii="仿宋" w:hAnsi="仿宋" w:eastAsia="仿宋"/>
          <w:sz w:val="28"/>
          <w:szCs w:val="28"/>
        </w:rPr>
      </w:pPr>
    </w:p>
    <w:p w14:paraId="635E68BF">
      <w:pPr>
        <w:pStyle w:val="24"/>
        <w:ind w:firstLine="0"/>
        <w:rPr>
          <w:rFonts w:hint="default" w:ascii="仿宋" w:hAnsi="仿宋" w:eastAsia="仿宋"/>
          <w:sz w:val="28"/>
          <w:szCs w:val="28"/>
        </w:rPr>
      </w:pPr>
      <w:r>
        <w:rPr>
          <w:rFonts w:ascii="仿宋" w:hAnsi="仿宋" w:eastAsia="仿宋"/>
          <w:sz w:val="28"/>
          <w:szCs w:val="28"/>
        </w:rPr>
        <w:t>乙      方：</w:t>
      </w:r>
    </w:p>
    <w:p w14:paraId="37E5603F">
      <w:pPr>
        <w:pStyle w:val="24"/>
        <w:ind w:firstLine="0"/>
        <w:rPr>
          <w:rFonts w:hint="default" w:ascii="仿宋" w:hAnsi="仿宋" w:eastAsia="仿宋"/>
          <w:sz w:val="28"/>
          <w:szCs w:val="28"/>
        </w:rPr>
      </w:pPr>
      <w:r>
        <w:rPr>
          <w:rFonts w:ascii="仿宋" w:hAnsi="仿宋" w:eastAsia="仿宋"/>
          <w:sz w:val="28"/>
          <w:szCs w:val="28"/>
        </w:rPr>
        <w:t>法定代表人：</w:t>
      </w:r>
    </w:p>
    <w:p w14:paraId="75AA2A33">
      <w:pPr>
        <w:pStyle w:val="24"/>
        <w:ind w:firstLine="0"/>
        <w:rPr>
          <w:rFonts w:hint="default" w:ascii="仿宋" w:hAnsi="仿宋" w:eastAsia="仿宋"/>
          <w:sz w:val="28"/>
          <w:szCs w:val="28"/>
          <w:u w:val="single"/>
        </w:rPr>
      </w:pPr>
      <w:r>
        <w:rPr>
          <w:rFonts w:ascii="仿宋" w:hAnsi="仿宋" w:eastAsia="仿宋"/>
          <w:sz w:val="28"/>
          <w:szCs w:val="28"/>
        </w:rPr>
        <w:t>住      所：</w:t>
      </w:r>
    </w:p>
    <w:p w14:paraId="1C21D426">
      <w:pPr>
        <w:pStyle w:val="24"/>
        <w:ind w:firstLine="0"/>
        <w:rPr>
          <w:rFonts w:hint="default" w:ascii="仿宋" w:hAnsi="仿宋" w:eastAsia="仿宋"/>
          <w:sz w:val="28"/>
          <w:szCs w:val="28"/>
        </w:rPr>
      </w:pPr>
      <w:r>
        <w:rPr>
          <w:rFonts w:ascii="仿宋" w:hAnsi="仿宋" w:eastAsia="仿宋"/>
          <w:sz w:val="28"/>
          <w:szCs w:val="28"/>
        </w:rPr>
        <w:t>联  系  人：</w:t>
      </w:r>
    </w:p>
    <w:p w14:paraId="58D485C1">
      <w:pPr>
        <w:pStyle w:val="24"/>
        <w:ind w:firstLine="0"/>
        <w:rPr>
          <w:rFonts w:hint="default" w:ascii="仿宋" w:hAnsi="仿宋" w:eastAsia="仿宋"/>
          <w:spacing w:val="30"/>
          <w:sz w:val="28"/>
          <w:szCs w:val="28"/>
        </w:rPr>
      </w:pPr>
      <w:r>
        <w:rPr>
          <w:rFonts w:ascii="仿宋" w:hAnsi="仿宋" w:eastAsia="仿宋"/>
          <w:spacing w:val="30"/>
          <w:sz w:val="28"/>
          <w:szCs w:val="28"/>
        </w:rPr>
        <w:t>联系方式：</w:t>
      </w:r>
    </w:p>
    <w:p w14:paraId="6C1C0FAF">
      <w:pPr>
        <w:pStyle w:val="18"/>
        <w:snapToGrid w:val="0"/>
        <w:spacing w:before="156" w:beforeLines="50" w:after="156" w:afterLines="50"/>
        <w:ind w:firstLine="560" w:firstLineChars="200"/>
        <w:rPr>
          <w:rFonts w:ascii="仿宋" w:hAnsi="仿宋" w:eastAsia="仿宋"/>
          <w:sz w:val="28"/>
          <w:szCs w:val="28"/>
        </w:rPr>
      </w:pPr>
    </w:p>
    <w:p w14:paraId="0B928CDC">
      <w:pPr>
        <w:pStyle w:val="18"/>
        <w:snapToGrid w:val="0"/>
        <w:spacing w:before="156" w:beforeLines="50" w:after="156" w:afterLines="50"/>
        <w:ind w:firstLine="0"/>
        <w:rPr>
          <w:rFonts w:ascii="仿宋" w:hAnsi="仿宋" w:eastAsia="仿宋"/>
          <w:sz w:val="28"/>
          <w:szCs w:val="28"/>
        </w:rPr>
      </w:pPr>
    </w:p>
    <w:p w14:paraId="10329723">
      <w:pPr>
        <w:pStyle w:val="18"/>
        <w:snapToGrid w:val="0"/>
        <w:spacing w:before="156" w:beforeLines="50" w:after="156" w:afterLines="50"/>
        <w:ind w:firstLine="560" w:firstLineChars="200"/>
        <w:rPr>
          <w:rFonts w:ascii="仿宋" w:hAnsi="仿宋" w:eastAsia="仿宋"/>
          <w:sz w:val="28"/>
          <w:szCs w:val="28"/>
        </w:rPr>
      </w:pPr>
      <w:r>
        <w:rPr>
          <w:rFonts w:hint="eastAsia" w:ascii="仿宋" w:hAnsi="仿宋" w:eastAsia="仿宋"/>
          <w:sz w:val="28"/>
          <w:szCs w:val="28"/>
        </w:rPr>
        <w:t>鉴于：</w:t>
      </w:r>
    </w:p>
    <w:p w14:paraId="7FDCCA91">
      <w:pPr>
        <w:pStyle w:val="25"/>
        <w:ind w:firstLine="560" w:firstLineChars="200"/>
        <w:rPr>
          <w:rFonts w:hint="default" w:ascii="仿宋" w:hAnsi="仿宋" w:eastAsia="仿宋"/>
          <w:sz w:val="28"/>
          <w:szCs w:val="28"/>
        </w:rPr>
      </w:pPr>
      <w:r>
        <w:rPr>
          <w:rFonts w:ascii="仿宋" w:hAnsi="仿宋" w:eastAsia="仿宋" w:cs="仿宋_GB2312"/>
          <w:sz w:val="28"/>
          <w:szCs w:val="28"/>
        </w:rPr>
        <w:t>一、</w:t>
      </w:r>
      <w:r>
        <w:rPr>
          <w:rFonts w:ascii="仿宋" w:hAnsi="仿宋" w:eastAsia="仿宋" w:cs="宋体"/>
          <w:sz w:val="28"/>
          <w:szCs w:val="28"/>
        </w:rPr>
        <w:t>甲方根据《区域性股权市场监督管理试行办法》的规定，负责组织上海股权托管交易市场的活动，对上海股权托管交易市场的参与者进行自律管理。</w:t>
      </w:r>
    </w:p>
    <w:p w14:paraId="54540700">
      <w:pPr>
        <w:pStyle w:val="18"/>
        <w:snapToGrid w:val="0"/>
        <w:spacing w:before="156" w:beforeLines="50" w:after="156" w:afterLines="50"/>
        <w:ind w:firstLine="560" w:firstLineChars="200"/>
        <w:rPr>
          <w:rFonts w:ascii="仿宋" w:hAnsi="仿宋" w:eastAsia="仿宋"/>
          <w:sz w:val="28"/>
          <w:szCs w:val="28"/>
        </w:rPr>
      </w:pPr>
      <w:r>
        <w:rPr>
          <w:rFonts w:hint="eastAsia" w:ascii="仿宋" w:hAnsi="仿宋" w:eastAsia="仿宋"/>
          <w:sz w:val="28"/>
          <w:szCs w:val="28"/>
        </w:rPr>
        <w:t>二、乙方为依法设立并合法存续的企业，且符合甲方规定的展示板基本信披层推荐展示业务资格申请条件。</w:t>
      </w:r>
    </w:p>
    <w:p w14:paraId="369D5B40">
      <w:pPr>
        <w:pStyle w:val="18"/>
        <w:snapToGrid w:val="0"/>
        <w:spacing w:before="156" w:beforeLines="50" w:after="156" w:afterLines="50"/>
        <w:ind w:firstLine="560" w:firstLineChars="200"/>
        <w:rPr>
          <w:rFonts w:ascii="仿宋" w:hAnsi="仿宋" w:eastAsia="仿宋"/>
          <w:sz w:val="28"/>
          <w:szCs w:val="28"/>
        </w:rPr>
      </w:pPr>
      <w:r>
        <w:rPr>
          <w:rFonts w:hint="eastAsia" w:ascii="仿宋" w:hAnsi="仿宋" w:eastAsia="仿宋"/>
          <w:sz w:val="28"/>
          <w:szCs w:val="28"/>
        </w:rPr>
        <w:t>根据《中华人民共和国民法典》以及《上海股权托管交易中心展示板基本信披层业务规则》（以下简称《基本信披层业务规则》）《上海股权托管交易中心展示板中介机构业务资格管理细则》（以下简称《业务资格管理细则》）等相关规定，甲、乙双方经充分协商，达成如下协议：</w:t>
      </w:r>
    </w:p>
    <w:p w14:paraId="4DC26E55">
      <w:pPr>
        <w:pStyle w:val="18"/>
        <w:snapToGrid w:val="0"/>
        <w:spacing w:before="156" w:beforeLines="50" w:after="156" w:afterLines="50"/>
        <w:ind w:firstLine="560" w:firstLineChars="200"/>
        <w:rPr>
          <w:rFonts w:ascii="仿宋" w:hAnsi="仿宋" w:eastAsia="仿宋"/>
          <w:sz w:val="28"/>
          <w:szCs w:val="28"/>
        </w:rPr>
      </w:pPr>
    </w:p>
    <w:p w14:paraId="370F82AE">
      <w:pPr>
        <w:pStyle w:val="18"/>
        <w:snapToGrid w:val="0"/>
        <w:spacing w:before="249" w:beforeLines="80" w:after="249" w:afterLines="80"/>
        <w:ind w:firstLine="482"/>
        <w:jc w:val="center"/>
        <w:outlineLvl w:val="0"/>
        <w:rPr>
          <w:rFonts w:ascii="仿宋" w:hAnsi="仿宋" w:eastAsia="仿宋"/>
          <w:b/>
          <w:sz w:val="28"/>
          <w:szCs w:val="28"/>
        </w:rPr>
      </w:pPr>
      <w:r>
        <w:rPr>
          <w:rFonts w:hint="eastAsia" w:ascii="仿宋" w:hAnsi="仿宋" w:eastAsia="仿宋"/>
          <w:b/>
          <w:sz w:val="28"/>
          <w:szCs w:val="28"/>
        </w:rPr>
        <w:t>第一章 甲方及乙方的权利、义务</w:t>
      </w:r>
    </w:p>
    <w:p w14:paraId="691511D8">
      <w:pPr>
        <w:pStyle w:val="18"/>
        <w:numPr>
          <w:ilvl w:val="0"/>
          <w:numId w:val="1"/>
        </w:numPr>
        <w:tabs>
          <w:tab w:val="left" w:pos="0"/>
          <w:tab w:val="left" w:pos="1560"/>
          <w:tab w:val="clear" w:pos="2014"/>
        </w:tabs>
        <w:snapToGrid w:val="0"/>
        <w:spacing w:before="156" w:beforeLines="50" w:after="156" w:afterLines="50"/>
        <w:ind w:left="0" w:firstLine="567"/>
        <w:rPr>
          <w:rFonts w:ascii="仿宋" w:hAnsi="仿宋" w:eastAsia="仿宋"/>
          <w:sz w:val="28"/>
          <w:szCs w:val="28"/>
        </w:rPr>
      </w:pPr>
      <w:r>
        <w:rPr>
          <w:rFonts w:ascii="仿宋" w:hAnsi="仿宋" w:eastAsia="仿宋"/>
          <w:sz w:val="28"/>
          <w:szCs w:val="28"/>
        </w:rPr>
        <w:t>甲方及乙方拥有《业务资格管理细则》及展示</w:t>
      </w:r>
      <w:r>
        <w:rPr>
          <w:rFonts w:hint="eastAsia" w:ascii="仿宋" w:hAnsi="仿宋" w:eastAsia="仿宋"/>
          <w:sz w:val="28"/>
          <w:szCs w:val="28"/>
        </w:rPr>
        <w:t>板基本</w:t>
      </w:r>
      <w:r>
        <w:rPr>
          <w:rFonts w:ascii="仿宋" w:hAnsi="仿宋" w:eastAsia="仿宋"/>
          <w:sz w:val="28"/>
          <w:szCs w:val="28"/>
        </w:rPr>
        <w:t>信披层相关规则规定的权利</w:t>
      </w:r>
      <w:r>
        <w:rPr>
          <w:rFonts w:hint="eastAsia" w:ascii="仿宋" w:hAnsi="仿宋" w:eastAsia="仿宋"/>
          <w:sz w:val="28"/>
          <w:szCs w:val="28"/>
        </w:rPr>
        <w:t>。</w:t>
      </w:r>
    </w:p>
    <w:p w14:paraId="685A73FE">
      <w:pPr>
        <w:pStyle w:val="18"/>
        <w:numPr>
          <w:ilvl w:val="0"/>
          <w:numId w:val="1"/>
        </w:numPr>
        <w:tabs>
          <w:tab w:val="left" w:pos="0"/>
          <w:tab w:val="left" w:pos="1560"/>
          <w:tab w:val="clear" w:pos="2014"/>
        </w:tabs>
        <w:snapToGrid w:val="0"/>
        <w:spacing w:before="156" w:beforeLines="50" w:after="156" w:afterLines="50"/>
        <w:ind w:left="0" w:firstLine="567"/>
        <w:rPr>
          <w:rFonts w:ascii="仿宋" w:hAnsi="仿宋" w:eastAsia="仿宋"/>
          <w:sz w:val="28"/>
          <w:szCs w:val="28"/>
        </w:rPr>
      </w:pPr>
      <w:r>
        <w:rPr>
          <w:rFonts w:ascii="仿宋" w:hAnsi="仿宋" w:eastAsia="仿宋"/>
          <w:sz w:val="28"/>
          <w:szCs w:val="28"/>
        </w:rPr>
        <w:t>甲方及乙方应按《业务资格管理细则》及展示</w:t>
      </w:r>
      <w:r>
        <w:rPr>
          <w:rFonts w:hint="eastAsia" w:ascii="仿宋" w:hAnsi="仿宋" w:eastAsia="仿宋"/>
          <w:sz w:val="28"/>
          <w:szCs w:val="28"/>
        </w:rPr>
        <w:t>板基本</w:t>
      </w:r>
      <w:r>
        <w:rPr>
          <w:rFonts w:ascii="仿宋" w:hAnsi="仿宋" w:eastAsia="仿宋"/>
          <w:sz w:val="28"/>
          <w:szCs w:val="28"/>
        </w:rPr>
        <w:t>信披层相关规则的规定，</w:t>
      </w:r>
      <w:r>
        <w:rPr>
          <w:rFonts w:ascii="Times New Roman" w:hAnsi="仿宋" w:eastAsia="仿宋"/>
          <w:color w:val="000000"/>
          <w:sz w:val="28"/>
          <w:szCs w:val="28"/>
        </w:rPr>
        <w:t>承担义务并履行职责</w:t>
      </w:r>
      <w:r>
        <w:rPr>
          <w:rFonts w:hint="eastAsia" w:ascii="仿宋" w:hAnsi="仿宋" w:eastAsia="仿宋"/>
          <w:sz w:val="28"/>
          <w:szCs w:val="28"/>
        </w:rPr>
        <w:t>。</w:t>
      </w:r>
    </w:p>
    <w:p w14:paraId="7120C005">
      <w:pPr>
        <w:pStyle w:val="18"/>
        <w:tabs>
          <w:tab w:val="left" w:pos="2014"/>
        </w:tabs>
        <w:snapToGrid w:val="0"/>
        <w:spacing w:before="156" w:beforeLines="50" w:after="156" w:afterLines="50"/>
        <w:ind w:left="567" w:firstLine="0"/>
        <w:rPr>
          <w:rFonts w:ascii="仿宋" w:hAnsi="仿宋" w:eastAsia="仿宋"/>
          <w:sz w:val="28"/>
          <w:szCs w:val="28"/>
        </w:rPr>
      </w:pPr>
    </w:p>
    <w:p w14:paraId="10737D79">
      <w:pPr>
        <w:pStyle w:val="18"/>
        <w:snapToGrid w:val="0"/>
        <w:spacing w:before="249" w:beforeLines="80" w:after="249" w:afterLines="80"/>
        <w:ind w:firstLine="482"/>
        <w:jc w:val="center"/>
        <w:outlineLvl w:val="0"/>
        <w:rPr>
          <w:rFonts w:ascii="仿宋" w:hAnsi="仿宋" w:eastAsia="仿宋"/>
          <w:b/>
          <w:sz w:val="28"/>
          <w:szCs w:val="28"/>
        </w:rPr>
      </w:pPr>
      <w:bookmarkStart w:id="0" w:name="OLE_LINK3"/>
      <w:bookmarkEnd w:id="0"/>
      <w:r>
        <w:rPr>
          <w:rFonts w:hint="eastAsia" w:ascii="仿宋" w:hAnsi="仿宋" w:eastAsia="仿宋"/>
          <w:b/>
          <w:sz w:val="28"/>
          <w:szCs w:val="28"/>
        </w:rPr>
        <w:t>第二章 费用</w:t>
      </w:r>
    </w:p>
    <w:p w14:paraId="39A155F6">
      <w:pPr>
        <w:pStyle w:val="18"/>
        <w:numPr>
          <w:ilvl w:val="0"/>
          <w:numId w:val="1"/>
        </w:numPr>
        <w:tabs>
          <w:tab w:val="left" w:pos="0"/>
          <w:tab w:val="left" w:pos="1560"/>
          <w:tab w:val="clear" w:pos="2014"/>
        </w:tabs>
        <w:snapToGrid w:val="0"/>
        <w:spacing w:before="156" w:beforeLines="50" w:after="156" w:afterLines="50"/>
        <w:ind w:left="0" w:firstLine="567"/>
        <w:rPr>
          <w:rFonts w:ascii="仿宋" w:hAnsi="仿宋" w:eastAsia="仿宋"/>
          <w:sz w:val="28"/>
          <w:szCs w:val="28"/>
        </w:rPr>
      </w:pPr>
      <w:r>
        <w:rPr>
          <w:rFonts w:hint="eastAsia" w:ascii="仿宋" w:hAnsi="仿宋" w:eastAsia="仿宋"/>
          <w:sz w:val="28"/>
          <w:szCs w:val="28"/>
        </w:rPr>
        <w:t>乙方</w:t>
      </w:r>
      <w:r>
        <w:rPr>
          <w:rFonts w:ascii="仿宋" w:hAnsi="仿宋" w:eastAsia="仿宋"/>
          <w:sz w:val="28"/>
          <w:szCs w:val="28"/>
        </w:rPr>
        <w:t>应按甲方公布的收费项目、收费标准和缴费时间等要求</w:t>
      </w:r>
      <w:r>
        <w:rPr>
          <w:rFonts w:hint="eastAsia" w:ascii="仿宋" w:hAnsi="仿宋" w:eastAsia="仿宋"/>
          <w:sz w:val="28"/>
          <w:szCs w:val="28"/>
        </w:rPr>
        <w:t>缴纳相关费用。</w:t>
      </w:r>
    </w:p>
    <w:p w14:paraId="7D6B9162">
      <w:pPr>
        <w:pStyle w:val="18"/>
        <w:numPr>
          <w:ilvl w:val="0"/>
          <w:numId w:val="1"/>
        </w:numPr>
        <w:tabs>
          <w:tab w:val="left" w:pos="0"/>
          <w:tab w:val="left" w:pos="1560"/>
          <w:tab w:val="clear" w:pos="2014"/>
        </w:tabs>
        <w:snapToGrid w:val="0"/>
        <w:spacing w:before="156" w:beforeLines="50" w:after="156" w:afterLines="50"/>
        <w:ind w:left="0" w:firstLine="567"/>
        <w:rPr>
          <w:rFonts w:ascii="仿宋" w:hAnsi="仿宋" w:eastAsia="仿宋"/>
          <w:sz w:val="28"/>
          <w:szCs w:val="28"/>
        </w:rPr>
      </w:pPr>
      <w:r>
        <w:rPr>
          <w:rFonts w:ascii="仿宋" w:hAnsi="仿宋" w:eastAsia="仿宋"/>
          <w:sz w:val="28"/>
          <w:szCs w:val="28"/>
        </w:rPr>
        <w:t>甲方收费项目、收费标准和缴费时间等要求发生变更的，应及时公布，乙方应按甲方公布的最新要求缴纳相关费用</w:t>
      </w:r>
      <w:r>
        <w:rPr>
          <w:rFonts w:hint="eastAsia" w:ascii="仿宋" w:hAnsi="仿宋" w:eastAsia="仿宋"/>
          <w:sz w:val="28"/>
          <w:szCs w:val="28"/>
        </w:rPr>
        <w:t>。</w:t>
      </w:r>
    </w:p>
    <w:p w14:paraId="22B566B2">
      <w:pPr>
        <w:pStyle w:val="18"/>
        <w:snapToGrid w:val="0"/>
        <w:ind w:firstLine="560" w:firstLineChars="200"/>
        <w:rPr>
          <w:rFonts w:ascii="仿宋" w:hAnsi="仿宋" w:eastAsia="仿宋"/>
          <w:sz w:val="28"/>
          <w:szCs w:val="28"/>
        </w:rPr>
      </w:pPr>
      <w:r>
        <w:rPr>
          <w:rFonts w:hint="eastAsia" w:ascii="仿宋" w:hAnsi="仿宋" w:eastAsia="仿宋"/>
          <w:sz w:val="28"/>
          <w:szCs w:val="28"/>
        </w:rPr>
        <w:t>甲方银行账户信息如下：</w:t>
      </w:r>
    </w:p>
    <w:p w14:paraId="24318B84">
      <w:pPr>
        <w:pStyle w:val="18"/>
        <w:snapToGrid w:val="0"/>
        <w:ind w:firstLine="560" w:firstLineChars="200"/>
        <w:rPr>
          <w:rFonts w:ascii="仿宋" w:hAnsi="仿宋" w:eastAsia="仿宋"/>
          <w:sz w:val="28"/>
          <w:szCs w:val="28"/>
        </w:rPr>
      </w:pPr>
      <w:r>
        <w:rPr>
          <w:rFonts w:ascii="仿宋" w:hAnsi="仿宋" w:eastAsia="仿宋"/>
          <w:sz w:val="28"/>
          <w:szCs w:val="28"/>
        </w:rPr>
        <w:t>户名：上海股权托管交易中心股份有限公司</w:t>
      </w:r>
    </w:p>
    <w:p w14:paraId="1BC1FA0F">
      <w:pPr>
        <w:pStyle w:val="18"/>
        <w:snapToGrid w:val="0"/>
        <w:ind w:firstLine="560" w:firstLineChars="200"/>
        <w:rPr>
          <w:rFonts w:ascii="仿宋" w:hAnsi="仿宋" w:eastAsia="仿宋"/>
          <w:sz w:val="28"/>
          <w:szCs w:val="28"/>
        </w:rPr>
      </w:pPr>
      <w:r>
        <w:rPr>
          <w:rFonts w:ascii="仿宋" w:hAnsi="仿宋" w:eastAsia="仿宋"/>
          <w:sz w:val="28"/>
          <w:szCs w:val="28"/>
        </w:rPr>
        <w:t>开户银行：</w:t>
      </w:r>
      <w:r>
        <w:rPr>
          <w:rFonts w:hint="eastAsia" w:ascii="仿宋" w:hAnsi="仿宋" w:eastAsia="仿宋"/>
          <w:sz w:val="28"/>
          <w:szCs w:val="28"/>
          <w:lang w:val="en-US" w:eastAsia="zh-CN"/>
        </w:rPr>
        <w:t>工商银行</w:t>
      </w:r>
      <w:bookmarkStart w:id="1" w:name="_GoBack"/>
      <w:bookmarkEnd w:id="1"/>
      <w:r>
        <w:rPr>
          <w:rFonts w:ascii="仿宋" w:hAnsi="仿宋" w:eastAsia="仿宋"/>
          <w:sz w:val="28"/>
          <w:szCs w:val="28"/>
        </w:rPr>
        <w:t>上海市分行营业部</w:t>
      </w:r>
    </w:p>
    <w:p w14:paraId="7BA2C047">
      <w:pPr>
        <w:pStyle w:val="18"/>
        <w:snapToGrid w:val="0"/>
        <w:ind w:firstLine="560" w:firstLineChars="200"/>
        <w:rPr>
          <w:rFonts w:ascii="仿宋" w:hAnsi="仿宋" w:eastAsia="仿宋" w:cs="仿宋_GB2312"/>
          <w:b/>
          <w:sz w:val="28"/>
          <w:szCs w:val="28"/>
        </w:rPr>
      </w:pPr>
      <w:r>
        <w:rPr>
          <w:rFonts w:ascii="仿宋" w:hAnsi="仿宋" w:eastAsia="仿宋"/>
          <w:sz w:val="28"/>
          <w:szCs w:val="28"/>
        </w:rPr>
        <w:t>账号：1001244309006675218</w:t>
      </w:r>
    </w:p>
    <w:p w14:paraId="2DB751CA">
      <w:pPr>
        <w:pStyle w:val="18"/>
        <w:numPr>
          <w:ilvl w:val="0"/>
          <w:numId w:val="1"/>
        </w:numPr>
        <w:tabs>
          <w:tab w:val="left" w:pos="142"/>
          <w:tab w:val="left" w:pos="1560"/>
          <w:tab w:val="clear" w:pos="2014"/>
        </w:tabs>
        <w:snapToGrid w:val="0"/>
        <w:spacing w:before="156" w:beforeLines="50" w:after="156" w:afterLines="50"/>
        <w:ind w:left="0" w:firstLine="565" w:firstLineChars="202"/>
        <w:rPr>
          <w:rFonts w:ascii="仿宋" w:hAnsi="仿宋" w:eastAsia="仿宋"/>
          <w:sz w:val="28"/>
          <w:szCs w:val="28"/>
        </w:rPr>
      </w:pPr>
      <w:r>
        <w:rPr>
          <w:rFonts w:hint="eastAsia" w:ascii="仿宋" w:hAnsi="仿宋" w:eastAsia="仿宋"/>
          <w:sz w:val="28"/>
          <w:szCs w:val="28"/>
        </w:rPr>
        <w:t>乙方申请终止业务资格或被甲方取消业务资格的，已缴纳的费用不予返还；截止终止业务资格或取消业务资格之日前，应缴纳的相关费用，乙方应当补齐。</w:t>
      </w:r>
    </w:p>
    <w:p w14:paraId="6CC97EBB">
      <w:pPr>
        <w:pStyle w:val="18"/>
        <w:tabs>
          <w:tab w:val="left" w:pos="2014"/>
        </w:tabs>
        <w:snapToGrid w:val="0"/>
        <w:spacing w:before="156" w:beforeLines="50" w:after="156" w:afterLines="50"/>
        <w:ind w:left="566" w:firstLine="0"/>
        <w:rPr>
          <w:rFonts w:ascii="仿宋" w:hAnsi="仿宋" w:eastAsia="仿宋"/>
          <w:sz w:val="28"/>
          <w:szCs w:val="28"/>
        </w:rPr>
      </w:pPr>
    </w:p>
    <w:p w14:paraId="090FCFA9">
      <w:pPr>
        <w:pStyle w:val="18"/>
        <w:snapToGrid w:val="0"/>
        <w:spacing w:before="249" w:beforeLines="80" w:after="249" w:afterLines="80"/>
        <w:ind w:firstLine="482"/>
        <w:jc w:val="center"/>
        <w:outlineLvl w:val="0"/>
        <w:rPr>
          <w:rFonts w:ascii="仿宋" w:hAnsi="仿宋" w:eastAsia="仿宋"/>
          <w:b/>
          <w:sz w:val="28"/>
          <w:szCs w:val="28"/>
        </w:rPr>
      </w:pPr>
      <w:r>
        <w:rPr>
          <w:rFonts w:hint="eastAsia" w:ascii="仿宋" w:hAnsi="仿宋" w:eastAsia="仿宋"/>
          <w:b/>
          <w:sz w:val="28"/>
          <w:szCs w:val="28"/>
        </w:rPr>
        <w:t>第三章 协议的变更与解除</w:t>
      </w:r>
    </w:p>
    <w:p w14:paraId="3E9E4675">
      <w:pPr>
        <w:pStyle w:val="18"/>
        <w:numPr>
          <w:ilvl w:val="0"/>
          <w:numId w:val="1"/>
        </w:numPr>
        <w:tabs>
          <w:tab w:val="left" w:pos="142"/>
          <w:tab w:val="left" w:pos="1560"/>
          <w:tab w:val="clear" w:pos="2014"/>
        </w:tabs>
        <w:snapToGrid w:val="0"/>
        <w:spacing w:before="156" w:beforeLines="50" w:after="156" w:afterLines="50"/>
        <w:ind w:left="0" w:firstLine="565" w:firstLineChars="202"/>
        <w:rPr>
          <w:rFonts w:ascii="仿宋" w:hAnsi="仿宋" w:eastAsia="仿宋"/>
          <w:sz w:val="28"/>
          <w:szCs w:val="28"/>
        </w:rPr>
      </w:pPr>
      <w:r>
        <w:rPr>
          <w:rFonts w:hint="eastAsia" w:ascii="仿宋" w:hAnsi="仿宋" w:eastAsia="仿宋"/>
          <w:sz w:val="28"/>
          <w:szCs w:val="28"/>
        </w:rPr>
        <w:t>本协议依据《基本信披层业务规则》《业务资格管理细则》等展示板基本信披层相关规则签订，如因相关规则进行修订或颁布实施新的规则而导致本协议相关条款内容与修订或新颁布的业务规则内容相抵触，本协议与之相抵触的有关条款自动变更，以修订或新颁布后规则的相关内容为准，其他条款继续有效；任何一方不得以此为由解除本协议。</w:t>
      </w:r>
    </w:p>
    <w:p w14:paraId="5901DBF5">
      <w:pPr>
        <w:pStyle w:val="18"/>
        <w:numPr>
          <w:ilvl w:val="0"/>
          <w:numId w:val="1"/>
        </w:numPr>
        <w:tabs>
          <w:tab w:val="left" w:pos="142"/>
          <w:tab w:val="left" w:pos="1560"/>
          <w:tab w:val="clear" w:pos="2014"/>
        </w:tabs>
        <w:snapToGrid w:val="0"/>
        <w:spacing w:before="156" w:beforeLines="50" w:after="156" w:afterLines="50"/>
        <w:ind w:left="0" w:firstLine="565" w:firstLineChars="202"/>
        <w:rPr>
          <w:rFonts w:ascii="仿宋" w:hAnsi="仿宋" w:eastAsia="仿宋"/>
          <w:sz w:val="28"/>
          <w:szCs w:val="28"/>
        </w:rPr>
      </w:pPr>
      <w:r>
        <w:rPr>
          <w:rFonts w:ascii="仿宋" w:hAnsi="仿宋" w:eastAsia="仿宋"/>
          <w:sz w:val="28"/>
          <w:szCs w:val="28"/>
        </w:rPr>
        <w:t>乙方申请终止业务资格并经甲方批准或被甲方取消业务资格的，本协议自动解除。</w:t>
      </w:r>
    </w:p>
    <w:p w14:paraId="37601D99">
      <w:pPr>
        <w:pStyle w:val="18"/>
        <w:numPr>
          <w:ilvl w:val="0"/>
          <w:numId w:val="1"/>
        </w:numPr>
        <w:tabs>
          <w:tab w:val="left" w:pos="142"/>
          <w:tab w:val="left" w:pos="1560"/>
          <w:tab w:val="clear" w:pos="2014"/>
        </w:tabs>
        <w:snapToGrid w:val="0"/>
        <w:spacing w:before="156" w:beforeLines="50" w:after="156" w:afterLines="50"/>
        <w:ind w:left="0" w:firstLine="565" w:firstLineChars="202"/>
        <w:rPr>
          <w:rFonts w:ascii="仿宋" w:hAnsi="仿宋" w:eastAsia="仿宋"/>
          <w:sz w:val="28"/>
          <w:szCs w:val="28"/>
        </w:rPr>
      </w:pPr>
      <w:r>
        <w:rPr>
          <w:rFonts w:ascii="仿宋" w:hAnsi="仿宋" w:eastAsia="仿宋"/>
          <w:sz w:val="28"/>
        </w:rPr>
        <w:t>本协议失效或解除不影响甲方依法向乙方主张本协议项下未结费用的权利。</w:t>
      </w:r>
    </w:p>
    <w:p w14:paraId="7D5C3704">
      <w:pPr>
        <w:pStyle w:val="18"/>
        <w:numPr>
          <w:ilvl w:val="0"/>
          <w:numId w:val="1"/>
        </w:numPr>
        <w:tabs>
          <w:tab w:val="left" w:pos="142"/>
          <w:tab w:val="left" w:pos="1560"/>
          <w:tab w:val="clear" w:pos="2014"/>
        </w:tabs>
        <w:snapToGrid w:val="0"/>
        <w:spacing w:before="156" w:beforeLines="50" w:after="156" w:afterLines="50"/>
        <w:ind w:left="0" w:firstLine="565" w:firstLineChars="202"/>
        <w:rPr>
          <w:rFonts w:ascii="仿宋" w:hAnsi="仿宋" w:eastAsia="仿宋"/>
          <w:sz w:val="28"/>
          <w:szCs w:val="28"/>
        </w:rPr>
      </w:pPr>
      <w:r>
        <w:rPr>
          <w:rFonts w:ascii="仿宋" w:hAnsi="仿宋" w:eastAsia="仿宋"/>
          <w:sz w:val="28"/>
        </w:rPr>
        <w:t>本协议失效或解除后，乙方仍需积极配合甲方对相关事项的调查活动，并及时、真实、准确、完整的提供材料</w:t>
      </w:r>
      <w:r>
        <w:rPr>
          <w:rFonts w:hint="eastAsia" w:ascii="仿宋" w:hAnsi="仿宋" w:eastAsia="仿宋"/>
          <w:sz w:val="28"/>
        </w:rPr>
        <w:t>。</w:t>
      </w:r>
    </w:p>
    <w:p w14:paraId="55B79CBF">
      <w:pPr>
        <w:pStyle w:val="18"/>
        <w:numPr>
          <w:ilvl w:val="0"/>
          <w:numId w:val="1"/>
        </w:numPr>
        <w:tabs>
          <w:tab w:val="left" w:pos="142"/>
          <w:tab w:val="left" w:pos="1560"/>
          <w:tab w:val="clear" w:pos="2014"/>
        </w:tabs>
        <w:snapToGrid w:val="0"/>
        <w:spacing w:before="156" w:beforeLines="50" w:after="156" w:afterLines="50"/>
        <w:ind w:left="0" w:firstLine="565" w:firstLineChars="202"/>
        <w:rPr>
          <w:rFonts w:ascii="仿宋" w:hAnsi="仿宋" w:eastAsia="仿宋"/>
          <w:sz w:val="28"/>
          <w:szCs w:val="28"/>
        </w:rPr>
      </w:pPr>
      <w:r>
        <w:rPr>
          <w:rFonts w:ascii="仿宋" w:hAnsi="仿宋" w:eastAsia="仿宋"/>
          <w:sz w:val="28"/>
        </w:rPr>
        <w:t>本协议失效或解除后，如甲方发现乙方在参与甲方业务过程中存在违反甲方相关规定的情形，甲方仍可对乙方进行调查，并根据调查结果对乙方实施自律监管或违规处分</w:t>
      </w:r>
      <w:r>
        <w:rPr>
          <w:rFonts w:hint="eastAsia" w:ascii="仿宋" w:hAnsi="仿宋" w:eastAsia="仿宋"/>
          <w:sz w:val="28"/>
        </w:rPr>
        <w:t>。</w:t>
      </w:r>
    </w:p>
    <w:p w14:paraId="000534D1">
      <w:pPr>
        <w:pStyle w:val="18"/>
        <w:tabs>
          <w:tab w:val="left" w:pos="2014"/>
        </w:tabs>
        <w:snapToGrid w:val="0"/>
        <w:spacing w:before="156" w:beforeLines="50" w:after="156" w:afterLines="50"/>
        <w:ind w:left="566" w:firstLine="0"/>
        <w:rPr>
          <w:rFonts w:ascii="仿宋" w:hAnsi="仿宋" w:eastAsia="仿宋"/>
          <w:sz w:val="28"/>
          <w:szCs w:val="28"/>
        </w:rPr>
      </w:pPr>
    </w:p>
    <w:p w14:paraId="62C7D8D7">
      <w:pPr>
        <w:pStyle w:val="18"/>
        <w:snapToGrid w:val="0"/>
        <w:spacing w:before="249" w:beforeLines="80" w:after="249" w:afterLines="80"/>
        <w:ind w:firstLine="482"/>
        <w:jc w:val="center"/>
        <w:outlineLvl w:val="0"/>
        <w:rPr>
          <w:rFonts w:ascii="仿宋" w:hAnsi="仿宋" w:eastAsia="仿宋"/>
          <w:b/>
          <w:sz w:val="28"/>
          <w:szCs w:val="28"/>
        </w:rPr>
      </w:pPr>
      <w:r>
        <w:rPr>
          <w:rFonts w:hint="eastAsia" w:ascii="仿宋" w:hAnsi="仿宋" w:eastAsia="仿宋"/>
          <w:b/>
          <w:sz w:val="28"/>
          <w:szCs w:val="28"/>
        </w:rPr>
        <w:t>第四章 免责条款</w:t>
      </w:r>
    </w:p>
    <w:p w14:paraId="27D6A2AD">
      <w:pPr>
        <w:pStyle w:val="18"/>
        <w:numPr>
          <w:ilvl w:val="0"/>
          <w:numId w:val="1"/>
        </w:numPr>
        <w:tabs>
          <w:tab w:val="left" w:pos="142"/>
          <w:tab w:val="left" w:pos="1843"/>
          <w:tab w:val="clear" w:pos="2014"/>
        </w:tabs>
        <w:snapToGrid w:val="0"/>
        <w:spacing w:before="156" w:beforeLines="50" w:after="156" w:afterLines="50"/>
        <w:ind w:left="0" w:firstLine="565" w:firstLineChars="202"/>
        <w:rPr>
          <w:rFonts w:ascii="仿宋" w:hAnsi="仿宋" w:eastAsia="仿宋"/>
          <w:sz w:val="28"/>
          <w:szCs w:val="28"/>
        </w:rPr>
      </w:pPr>
      <w:r>
        <w:rPr>
          <w:rFonts w:hint="eastAsia" w:ascii="仿宋" w:hAnsi="仿宋" w:eastAsia="仿宋"/>
          <w:sz w:val="28"/>
          <w:szCs w:val="28"/>
        </w:rPr>
        <w:t>因不可抗力因素导致任一方损失，另一方不承担赔偿责任。</w:t>
      </w:r>
    </w:p>
    <w:p w14:paraId="702B7DC4">
      <w:pPr>
        <w:pStyle w:val="18"/>
        <w:numPr>
          <w:ilvl w:val="0"/>
          <w:numId w:val="1"/>
        </w:numPr>
        <w:tabs>
          <w:tab w:val="left" w:pos="142"/>
          <w:tab w:val="left" w:pos="1843"/>
          <w:tab w:val="clear" w:pos="2014"/>
        </w:tabs>
        <w:snapToGrid w:val="0"/>
        <w:spacing w:before="156" w:beforeLines="50" w:after="156" w:afterLines="50"/>
        <w:ind w:left="0" w:firstLine="565" w:firstLineChars="202"/>
        <w:rPr>
          <w:rFonts w:ascii="仿宋" w:hAnsi="仿宋" w:eastAsia="仿宋"/>
          <w:sz w:val="28"/>
          <w:szCs w:val="28"/>
        </w:rPr>
      </w:pPr>
      <w:r>
        <w:rPr>
          <w:rFonts w:hint="eastAsia" w:ascii="仿宋" w:hAnsi="仿宋" w:eastAsia="仿宋"/>
          <w:sz w:val="28"/>
          <w:szCs w:val="28"/>
        </w:rPr>
        <w:t>发生不可抗力并造成有关方损失时，双方均应及时采取有效措施防止损失进一步扩大。</w:t>
      </w:r>
    </w:p>
    <w:p w14:paraId="4F84CDE0">
      <w:pPr>
        <w:pStyle w:val="18"/>
        <w:tabs>
          <w:tab w:val="left" w:pos="2014"/>
        </w:tabs>
        <w:snapToGrid w:val="0"/>
        <w:spacing w:before="156" w:beforeLines="50" w:after="156" w:afterLines="50"/>
        <w:ind w:left="566" w:firstLine="0"/>
        <w:rPr>
          <w:rFonts w:ascii="仿宋" w:hAnsi="仿宋" w:eastAsia="仿宋"/>
          <w:sz w:val="28"/>
          <w:szCs w:val="28"/>
        </w:rPr>
      </w:pPr>
    </w:p>
    <w:p w14:paraId="34DAE603">
      <w:pPr>
        <w:pStyle w:val="18"/>
        <w:snapToGrid w:val="0"/>
        <w:spacing w:before="249" w:beforeLines="80" w:after="249" w:afterLines="80"/>
        <w:ind w:firstLine="482"/>
        <w:jc w:val="center"/>
        <w:outlineLvl w:val="0"/>
        <w:rPr>
          <w:rFonts w:ascii="仿宋" w:hAnsi="仿宋" w:eastAsia="仿宋"/>
          <w:b/>
          <w:sz w:val="28"/>
          <w:szCs w:val="28"/>
        </w:rPr>
      </w:pPr>
      <w:r>
        <w:rPr>
          <w:rFonts w:hint="eastAsia" w:ascii="仿宋" w:hAnsi="仿宋" w:eastAsia="仿宋"/>
          <w:b/>
          <w:sz w:val="28"/>
          <w:szCs w:val="28"/>
        </w:rPr>
        <w:t>第五章 争议解决</w:t>
      </w:r>
    </w:p>
    <w:p w14:paraId="4CB6E08C">
      <w:pPr>
        <w:pStyle w:val="18"/>
        <w:numPr>
          <w:ilvl w:val="0"/>
          <w:numId w:val="1"/>
        </w:numPr>
        <w:tabs>
          <w:tab w:val="left" w:pos="0"/>
          <w:tab w:val="left" w:pos="1843"/>
          <w:tab w:val="clear" w:pos="2014"/>
        </w:tabs>
        <w:snapToGrid w:val="0"/>
        <w:spacing w:before="156" w:beforeLines="50" w:after="156" w:afterLines="50"/>
        <w:ind w:left="0" w:firstLine="565" w:firstLineChars="202"/>
        <w:rPr>
          <w:rFonts w:ascii="仿宋" w:hAnsi="仿宋" w:eastAsia="仿宋"/>
          <w:sz w:val="28"/>
          <w:szCs w:val="28"/>
        </w:rPr>
      </w:pPr>
      <w:r>
        <w:rPr>
          <w:rFonts w:ascii="仿宋" w:hAnsi="仿宋" w:eastAsia="仿宋"/>
          <w:sz w:val="28"/>
          <w:szCs w:val="28"/>
        </w:rPr>
        <w:t>因本协议所发生的任何争议，甲乙双方首先应当通过友好协商的方式解决。</w:t>
      </w:r>
      <w:r>
        <w:rPr>
          <w:rFonts w:ascii="仿宋" w:hAnsi="仿宋" w:eastAsia="仿宋"/>
          <w:sz w:val="28"/>
        </w:rPr>
        <w:t>如协商解决不成，则甲、乙双方任何一方有权向上海仲裁委员会提请仲裁</w:t>
      </w:r>
      <w:r>
        <w:rPr>
          <w:rFonts w:hint="eastAsia" w:ascii="仿宋" w:hAnsi="仿宋" w:eastAsia="仿宋"/>
          <w:sz w:val="28"/>
        </w:rPr>
        <w:t>。</w:t>
      </w:r>
    </w:p>
    <w:p w14:paraId="1ED14470">
      <w:pPr>
        <w:pStyle w:val="18"/>
        <w:tabs>
          <w:tab w:val="left" w:pos="2014"/>
        </w:tabs>
        <w:snapToGrid w:val="0"/>
        <w:spacing w:before="156" w:beforeLines="50" w:after="156" w:afterLines="50"/>
        <w:ind w:left="566" w:firstLine="0"/>
        <w:rPr>
          <w:rFonts w:ascii="仿宋" w:hAnsi="仿宋" w:eastAsia="仿宋"/>
          <w:sz w:val="28"/>
          <w:szCs w:val="28"/>
        </w:rPr>
      </w:pPr>
    </w:p>
    <w:p w14:paraId="5D3B2D8A">
      <w:pPr>
        <w:pStyle w:val="18"/>
        <w:snapToGrid w:val="0"/>
        <w:spacing w:before="249" w:beforeLines="80" w:after="249" w:afterLines="80"/>
        <w:ind w:firstLine="482"/>
        <w:jc w:val="center"/>
        <w:outlineLvl w:val="0"/>
        <w:rPr>
          <w:rFonts w:ascii="仿宋" w:hAnsi="仿宋" w:eastAsia="仿宋"/>
          <w:b/>
          <w:sz w:val="28"/>
          <w:szCs w:val="28"/>
        </w:rPr>
      </w:pPr>
      <w:r>
        <w:rPr>
          <w:rFonts w:hint="eastAsia" w:ascii="仿宋" w:hAnsi="仿宋" w:eastAsia="仿宋"/>
          <w:b/>
          <w:sz w:val="28"/>
          <w:szCs w:val="28"/>
        </w:rPr>
        <w:t>第六章 其他事项</w:t>
      </w:r>
    </w:p>
    <w:p w14:paraId="424EF175">
      <w:pPr>
        <w:pStyle w:val="18"/>
        <w:numPr>
          <w:ilvl w:val="0"/>
          <w:numId w:val="1"/>
        </w:numPr>
        <w:tabs>
          <w:tab w:val="left" w:pos="0"/>
          <w:tab w:val="left" w:pos="1843"/>
          <w:tab w:val="clear" w:pos="2014"/>
        </w:tabs>
        <w:snapToGrid w:val="0"/>
        <w:spacing w:before="156" w:beforeLines="50" w:after="156" w:afterLines="50"/>
        <w:ind w:left="0" w:firstLine="565" w:firstLineChars="202"/>
        <w:rPr>
          <w:rFonts w:ascii="仿宋" w:hAnsi="仿宋" w:eastAsia="仿宋"/>
          <w:sz w:val="28"/>
          <w:szCs w:val="28"/>
        </w:rPr>
      </w:pPr>
      <w:r>
        <w:rPr>
          <w:rFonts w:hint="eastAsia" w:ascii="仿宋" w:hAnsi="仿宋" w:eastAsia="仿宋"/>
          <w:sz w:val="28"/>
          <w:szCs w:val="28"/>
        </w:rPr>
        <w:t>廉洁条款</w:t>
      </w:r>
    </w:p>
    <w:p w14:paraId="6991E5AD">
      <w:pPr>
        <w:pStyle w:val="18"/>
        <w:tabs>
          <w:tab w:val="left" w:pos="1843"/>
        </w:tabs>
        <w:snapToGrid w:val="0"/>
        <w:spacing w:before="156" w:beforeLines="50" w:after="156" w:afterLines="50"/>
        <w:ind w:firstLine="0"/>
        <w:rPr>
          <w:rFonts w:ascii="仿宋" w:hAnsi="仿宋" w:eastAsia="仿宋"/>
          <w:sz w:val="28"/>
          <w:szCs w:val="28"/>
        </w:rPr>
      </w:pPr>
      <w:r>
        <w:rPr>
          <w:rFonts w:hint="eastAsia" w:ascii="仿宋" w:hAnsi="仿宋" w:eastAsia="仿宋"/>
          <w:sz w:val="28"/>
          <w:szCs w:val="28"/>
        </w:rPr>
        <w:t xml:space="preserve">    （一）甲乙双方经营活动应自觉遵守国家和上海市关于廉洁从业的各项规定。</w:t>
      </w:r>
    </w:p>
    <w:p w14:paraId="1D250553">
      <w:pPr>
        <w:pStyle w:val="18"/>
        <w:tabs>
          <w:tab w:val="left" w:pos="1843"/>
        </w:tabs>
        <w:snapToGrid w:val="0"/>
        <w:spacing w:before="156" w:beforeLines="50" w:after="156" w:afterLines="50"/>
        <w:ind w:firstLine="0"/>
        <w:rPr>
          <w:rFonts w:ascii="仿宋" w:hAnsi="仿宋" w:eastAsia="仿宋"/>
          <w:sz w:val="28"/>
          <w:szCs w:val="28"/>
        </w:rPr>
      </w:pPr>
      <w:r>
        <w:rPr>
          <w:rFonts w:hint="eastAsia" w:ascii="仿宋" w:hAnsi="仿宋" w:eastAsia="仿宋"/>
          <w:sz w:val="28"/>
          <w:szCs w:val="28"/>
        </w:rPr>
        <w:t xml:space="preserve">    </w:t>
      </w:r>
      <w:r>
        <w:rPr>
          <w:rFonts w:ascii="仿宋" w:hAnsi="仿宋" w:eastAsia="仿宋"/>
          <w:sz w:val="28"/>
          <w:szCs w:val="28"/>
        </w:rPr>
        <w:t>（二）乙方郑重承诺在合作过程中与甲方及其下属子公司、企业领导人员之间不存在利益关联。</w:t>
      </w:r>
    </w:p>
    <w:p w14:paraId="304A1513">
      <w:pPr>
        <w:pStyle w:val="18"/>
        <w:numPr>
          <w:ilvl w:val="0"/>
          <w:numId w:val="1"/>
        </w:numPr>
        <w:tabs>
          <w:tab w:val="left" w:pos="0"/>
          <w:tab w:val="left" w:pos="1843"/>
          <w:tab w:val="clear" w:pos="2014"/>
        </w:tabs>
        <w:snapToGrid w:val="0"/>
        <w:spacing w:before="156" w:beforeLines="50" w:after="156" w:afterLines="50"/>
        <w:ind w:left="0" w:firstLine="565" w:firstLineChars="202"/>
        <w:rPr>
          <w:rFonts w:ascii="仿宋" w:hAnsi="仿宋" w:eastAsia="仿宋"/>
          <w:sz w:val="28"/>
          <w:szCs w:val="28"/>
        </w:rPr>
      </w:pPr>
      <w:r>
        <w:rPr>
          <w:rFonts w:ascii="仿宋" w:hAnsi="仿宋" w:eastAsia="仿宋"/>
          <w:sz w:val="28"/>
          <w:szCs w:val="28"/>
        </w:rPr>
        <w:t>除本协议</w:t>
      </w:r>
      <w:r>
        <w:rPr>
          <w:rFonts w:hint="eastAsia" w:ascii="仿宋" w:hAnsi="仿宋" w:eastAsia="仿宋"/>
          <w:sz w:val="28"/>
          <w:szCs w:val="28"/>
        </w:rPr>
        <w:t>第四条、</w:t>
      </w:r>
      <w:r>
        <w:rPr>
          <w:rFonts w:ascii="仿宋" w:hAnsi="仿宋" w:eastAsia="仿宋"/>
          <w:sz w:val="28"/>
          <w:szCs w:val="28"/>
        </w:rPr>
        <w:t>第</w:t>
      </w:r>
      <w:r>
        <w:rPr>
          <w:rFonts w:hint="eastAsia" w:ascii="仿宋" w:hAnsi="仿宋" w:eastAsia="仿宋"/>
          <w:sz w:val="28"/>
          <w:szCs w:val="28"/>
        </w:rPr>
        <w:t>六</w:t>
      </w:r>
      <w:r>
        <w:rPr>
          <w:rFonts w:ascii="仿宋" w:hAnsi="仿宋" w:eastAsia="仿宋"/>
          <w:sz w:val="28"/>
          <w:szCs w:val="28"/>
        </w:rPr>
        <w:t>条规定的变化外，本协议规定的事项发生重大变化或存在未尽事宜，甲、乙双方应当重新签订协议或签订补充协议。补充协议与本协议不一致的，以补充协议为准。</w:t>
      </w:r>
    </w:p>
    <w:p w14:paraId="25173E2A">
      <w:pPr>
        <w:pStyle w:val="18"/>
        <w:numPr>
          <w:ilvl w:val="0"/>
          <w:numId w:val="1"/>
        </w:numPr>
        <w:tabs>
          <w:tab w:val="left" w:pos="0"/>
          <w:tab w:val="left" w:pos="1843"/>
          <w:tab w:val="clear" w:pos="2014"/>
        </w:tabs>
        <w:snapToGrid w:val="0"/>
        <w:spacing w:before="156" w:beforeLines="50" w:after="156" w:afterLines="50"/>
        <w:ind w:left="0" w:firstLine="565" w:firstLineChars="202"/>
        <w:rPr>
          <w:rFonts w:ascii="仿宋" w:hAnsi="仿宋" w:eastAsia="仿宋"/>
          <w:sz w:val="28"/>
          <w:szCs w:val="28"/>
        </w:rPr>
      </w:pPr>
      <w:r>
        <w:rPr>
          <w:rFonts w:hint="eastAsia" w:ascii="仿宋" w:hAnsi="仿宋" w:eastAsia="仿宋"/>
          <w:sz w:val="28"/>
          <w:szCs w:val="28"/>
        </w:rPr>
        <w:t>甲</w:t>
      </w:r>
      <w:r>
        <w:rPr>
          <w:rFonts w:ascii="仿宋" w:hAnsi="仿宋" w:eastAsia="仿宋"/>
          <w:sz w:val="28"/>
          <w:szCs w:val="28"/>
        </w:rPr>
        <w:t>方所制定的相关业务规则</w:t>
      </w:r>
      <w:r>
        <w:rPr>
          <w:rFonts w:hint="eastAsia" w:ascii="仿宋" w:hAnsi="仿宋" w:eastAsia="仿宋"/>
          <w:sz w:val="28"/>
          <w:szCs w:val="28"/>
        </w:rPr>
        <w:t>、指引、指南、通知</w:t>
      </w:r>
      <w:r>
        <w:rPr>
          <w:rFonts w:ascii="仿宋" w:hAnsi="仿宋" w:eastAsia="仿宋"/>
          <w:sz w:val="28"/>
          <w:szCs w:val="28"/>
        </w:rPr>
        <w:t>及收费标准等均为本协议不可分割的组成部分</w:t>
      </w:r>
      <w:r>
        <w:rPr>
          <w:rFonts w:hint="eastAsia" w:ascii="仿宋" w:hAnsi="仿宋" w:eastAsia="仿宋"/>
          <w:sz w:val="28"/>
          <w:szCs w:val="28"/>
        </w:rPr>
        <w:t>。</w:t>
      </w:r>
    </w:p>
    <w:p w14:paraId="07B896F2">
      <w:pPr>
        <w:pStyle w:val="18"/>
        <w:numPr>
          <w:ilvl w:val="0"/>
          <w:numId w:val="1"/>
        </w:numPr>
        <w:tabs>
          <w:tab w:val="left" w:pos="0"/>
          <w:tab w:val="left" w:pos="1843"/>
          <w:tab w:val="clear" w:pos="2014"/>
        </w:tabs>
        <w:snapToGrid w:val="0"/>
        <w:spacing w:before="156" w:beforeLines="50" w:after="156" w:afterLines="50"/>
        <w:ind w:left="0" w:firstLine="565" w:firstLineChars="202"/>
        <w:rPr>
          <w:rFonts w:ascii="仿宋" w:hAnsi="仿宋" w:eastAsia="仿宋"/>
          <w:sz w:val="28"/>
          <w:szCs w:val="28"/>
        </w:rPr>
      </w:pPr>
      <w:r>
        <w:rPr>
          <w:rFonts w:ascii="仿宋" w:hAnsi="仿宋" w:eastAsia="仿宋"/>
          <w:sz w:val="28"/>
          <w:szCs w:val="28"/>
        </w:rPr>
        <w:t>本协议自甲、乙双方签字盖章后生效</w:t>
      </w:r>
      <w:r>
        <w:rPr>
          <w:rFonts w:hint="eastAsia" w:ascii="仿宋" w:hAnsi="仿宋" w:eastAsia="仿宋"/>
          <w:sz w:val="28"/>
          <w:szCs w:val="28"/>
        </w:rPr>
        <w:t>。</w:t>
      </w:r>
    </w:p>
    <w:p w14:paraId="4F83728B">
      <w:pPr>
        <w:pStyle w:val="18"/>
        <w:numPr>
          <w:ilvl w:val="0"/>
          <w:numId w:val="1"/>
        </w:numPr>
        <w:tabs>
          <w:tab w:val="left" w:pos="0"/>
          <w:tab w:val="left" w:pos="1843"/>
          <w:tab w:val="clear" w:pos="2014"/>
        </w:tabs>
        <w:snapToGrid w:val="0"/>
        <w:spacing w:before="156" w:beforeLines="50" w:after="156" w:afterLines="50"/>
        <w:ind w:left="0" w:firstLine="565" w:firstLineChars="202"/>
        <w:rPr>
          <w:rFonts w:ascii="仿宋" w:hAnsi="仿宋" w:eastAsia="仿宋"/>
          <w:sz w:val="28"/>
          <w:szCs w:val="28"/>
        </w:rPr>
      </w:pPr>
      <w:r>
        <w:rPr>
          <w:rFonts w:hint="eastAsia" w:ascii="仿宋" w:hAnsi="仿宋" w:eastAsia="仿宋"/>
          <w:sz w:val="28"/>
          <w:szCs w:val="28"/>
        </w:rPr>
        <w:t>本协议一式贰份，甲、乙双方各执壹份，每份均具有同等法律效力。</w:t>
      </w:r>
    </w:p>
    <w:p w14:paraId="00CE13EB">
      <w:pPr>
        <w:pStyle w:val="18"/>
        <w:snapToGrid w:val="0"/>
        <w:ind w:firstLine="560" w:firstLineChars="200"/>
        <w:jc w:val="left"/>
        <w:rPr>
          <w:rFonts w:ascii="仿宋" w:hAnsi="仿宋" w:eastAsia="仿宋"/>
          <w:sz w:val="28"/>
          <w:szCs w:val="28"/>
        </w:rPr>
      </w:pPr>
      <w:r>
        <w:rPr>
          <w:rFonts w:hint="eastAsia" w:ascii="仿宋" w:hAnsi="仿宋" w:eastAsia="仿宋"/>
          <w:sz w:val="28"/>
          <w:szCs w:val="28"/>
        </w:rPr>
        <w:t>（以下无正文）</w:t>
      </w:r>
    </w:p>
    <w:p w14:paraId="7CDED48A">
      <w:pPr>
        <w:pStyle w:val="18"/>
        <w:snapToGrid w:val="0"/>
        <w:spacing w:before="156" w:beforeLines="50" w:after="156" w:afterLines="50"/>
        <w:ind w:firstLine="560" w:firstLineChars="200"/>
        <w:rPr>
          <w:rFonts w:ascii="仿宋" w:hAnsi="仿宋" w:eastAsia="仿宋"/>
          <w:sz w:val="28"/>
          <w:szCs w:val="28"/>
        </w:rPr>
      </w:pPr>
      <w:r>
        <w:rPr>
          <w:rFonts w:ascii="仿宋" w:hAnsi="仿宋" w:eastAsia="仿宋"/>
          <w:sz w:val="28"/>
          <w:szCs w:val="28"/>
        </w:rPr>
        <w:br w:type="page"/>
      </w:r>
      <w:r>
        <w:rPr>
          <w:rFonts w:hint="eastAsia" w:ascii="仿宋" w:hAnsi="仿宋" w:eastAsia="仿宋"/>
          <w:sz w:val="28"/>
          <w:szCs w:val="28"/>
        </w:rPr>
        <w:t>（本页为协议签署页）</w:t>
      </w:r>
    </w:p>
    <w:p w14:paraId="0B8CBEDA">
      <w:pPr>
        <w:pStyle w:val="18"/>
        <w:snapToGrid w:val="0"/>
        <w:ind w:firstLine="0"/>
        <w:rPr>
          <w:rFonts w:ascii="仿宋" w:hAnsi="仿宋" w:eastAsia="仿宋"/>
          <w:sz w:val="28"/>
          <w:szCs w:val="28"/>
        </w:rPr>
      </w:pPr>
    </w:p>
    <w:p w14:paraId="318274DB">
      <w:pPr>
        <w:pStyle w:val="18"/>
        <w:snapToGrid w:val="0"/>
        <w:spacing w:before="312" w:beforeLines="100" w:after="312" w:afterLines="100"/>
        <w:ind w:firstLine="560" w:firstLineChars="200"/>
        <w:rPr>
          <w:rFonts w:ascii="仿宋" w:hAnsi="仿宋" w:eastAsia="仿宋"/>
          <w:sz w:val="28"/>
          <w:szCs w:val="28"/>
        </w:rPr>
      </w:pPr>
      <w:r>
        <w:rPr>
          <w:rFonts w:hint="eastAsia" w:ascii="仿宋" w:hAnsi="仿宋" w:eastAsia="仿宋"/>
          <w:sz w:val="28"/>
          <w:szCs w:val="28"/>
        </w:rPr>
        <w:t>甲方（盖章）：上海股权托管交易中心股份有限公司</w:t>
      </w:r>
    </w:p>
    <w:p w14:paraId="74C9D038">
      <w:pPr>
        <w:pStyle w:val="18"/>
        <w:snapToGrid w:val="0"/>
        <w:spacing w:before="312" w:beforeLines="100" w:after="312" w:afterLines="100"/>
        <w:ind w:firstLine="560" w:firstLineChars="200"/>
        <w:rPr>
          <w:rFonts w:ascii="仿宋" w:hAnsi="仿宋" w:eastAsia="仿宋"/>
          <w:sz w:val="28"/>
          <w:szCs w:val="28"/>
        </w:rPr>
      </w:pPr>
      <w:r>
        <w:rPr>
          <w:rFonts w:hint="eastAsia" w:ascii="仿宋" w:hAnsi="仿宋" w:eastAsia="仿宋"/>
          <w:sz w:val="28"/>
          <w:szCs w:val="28"/>
        </w:rPr>
        <w:t>法定代表人或授权代表（签字）：</w:t>
      </w:r>
    </w:p>
    <w:p w14:paraId="7D45EC4D">
      <w:pPr>
        <w:pStyle w:val="18"/>
        <w:snapToGrid w:val="0"/>
        <w:spacing w:before="312" w:beforeLines="100" w:after="312" w:afterLines="100"/>
        <w:ind w:firstLine="0"/>
        <w:rPr>
          <w:rFonts w:ascii="仿宋" w:hAnsi="仿宋" w:eastAsia="仿宋"/>
          <w:sz w:val="28"/>
          <w:szCs w:val="28"/>
        </w:rPr>
      </w:pPr>
    </w:p>
    <w:p w14:paraId="7E873ED4">
      <w:pPr>
        <w:pStyle w:val="18"/>
        <w:snapToGrid w:val="0"/>
        <w:spacing w:before="312" w:beforeLines="100" w:after="312" w:afterLines="100"/>
        <w:ind w:firstLine="560" w:firstLineChars="200"/>
        <w:rPr>
          <w:rFonts w:ascii="仿宋" w:hAnsi="仿宋" w:eastAsia="仿宋"/>
          <w:sz w:val="28"/>
          <w:szCs w:val="28"/>
        </w:rPr>
      </w:pPr>
      <w:r>
        <w:rPr>
          <w:rFonts w:hint="eastAsia" w:ascii="仿宋" w:hAnsi="仿宋" w:eastAsia="仿宋"/>
          <w:sz w:val="28"/>
          <w:szCs w:val="28"/>
        </w:rPr>
        <w:t>日期：</w:t>
      </w:r>
      <w:r>
        <w:rPr>
          <w:rFonts w:hint="eastAsia" w:ascii="仿宋" w:hAnsi="仿宋" w:eastAsia="仿宋"/>
          <w:sz w:val="28"/>
          <w:szCs w:val="28"/>
          <w:u w:val="single"/>
        </w:rPr>
        <w:t xml:space="preserve">        </w:t>
      </w:r>
      <w:r>
        <w:rPr>
          <w:rFonts w:hint="eastAsia" w:ascii="仿宋" w:hAnsi="仿宋" w:eastAsia="仿宋"/>
          <w:sz w:val="28"/>
          <w:szCs w:val="28"/>
        </w:rPr>
        <w:t>年</w:t>
      </w:r>
      <w:r>
        <w:rPr>
          <w:rFonts w:hint="eastAsia" w:ascii="仿宋" w:hAnsi="仿宋" w:eastAsia="仿宋"/>
          <w:sz w:val="28"/>
          <w:szCs w:val="28"/>
          <w:u w:val="single"/>
        </w:rPr>
        <w:t xml:space="preserve">    </w:t>
      </w:r>
      <w:r>
        <w:rPr>
          <w:rFonts w:hint="eastAsia" w:ascii="仿宋" w:hAnsi="仿宋" w:eastAsia="仿宋"/>
          <w:sz w:val="28"/>
          <w:szCs w:val="28"/>
        </w:rPr>
        <w:t>月</w:t>
      </w:r>
      <w:r>
        <w:rPr>
          <w:rFonts w:hint="eastAsia" w:ascii="仿宋" w:hAnsi="仿宋" w:eastAsia="仿宋"/>
          <w:sz w:val="28"/>
          <w:szCs w:val="28"/>
          <w:u w:val="single"/>
        </w:rPr>
        <w:t xml:space="preserve">    </w:t>
      </w:r>
      <w:r>
        <w:rPr>
          <w:rFonts w:hint="eastAsia" w:ascii="仿宋" w:hAnsi="仿宋" w:eastAsia="仿宋"/>
          <w:sz w:val="28"/>
          <w:szCs w:val="28"/>
        </w:rPr>
        <w:t>日</w:t>
      </w:r>
    </w:p>
    <w:p w14:paraId="25824AC5">
      <w:pPr>
        <w:pStyle w:val="18"/>
        <w:snapToGrid w:val="0"/>
        <w:rPr>
          <w:rFonts w:ascii="仿宋" w:hAnsi="仿宋" w:eastAsia="仿宋"/>
          <w:sz w:val="28"/>
          <w:szCs w:val="28"/>
        </w:rPr>
      </w:pPr>
    </w:p>
    <w:p w14:paraId="127B35DF">
      <w:pPr>
        <w:pStyle w:val="18"/>
        <w:snapToGrid w:val="0"/>
        <w:rPr>
          <w:rFonts w:ascii="仿宋" w:hAnsi="仿宋" w:eastAsia="仿宋"/>
          <w:sz w:val="28"/>
          <w:szCs w:val="28"/>
        </w:rPr>
      </w:pPr>
    </w:p>
    <w:p w14:paraId="1BCE585F">
      <w:pPr>
        <w:pStyle w:val="18"/>
        <w:snapToGrid w:val="0"/>
        <w:spacing w:before="312" w:beforeLines="100" w:after="312" w:afterLines="100"/>
        <w:ind w:firstLine="560" w:firstLineChars="200"/>
        <w:rPr>
          <w:rFonts w:ascii="仿宋" w:hAnsi="仿宋" w:eastAsia="仿宋" w:cs="仿宋_GB2312"/>
          <w:sz w:val="28"/>
          <w:szCs w:val="28"/>
        </w:rPr>
      </w:pPr>
      <w:r>
        <w:rPr>
          <w:rFonts w:hint="eastAsia" w:ascii="仿宋" w:hAnsi="仿宋" w:eastAsia="仿宋"/>
          <w:sz w:val="28"/>
          <w:szCs w:val="28"/>
        </w:rPr>
        <w:t>乙方（盖章）：</w:t>
      </w:r>
    </w:p>
    <w:p w14:paraId="5620FC5E">
      <w:pPr>
        <w:pStyle w:val="18"/>
        <w:snapToGrid w:val="0"/>
        <w:spacing w:before="312" w:beforeLines="100" w:after="312" w:afterLines="100"/>
        <w:ind w:firstLine="560" w:firstLineChars="200"/>
        <w:rPr>
          <w:rFonts w:ascii="仿宋" w:hAnsi="仿宋" w:eastAsia="仿宋"/>
          <w:sz w:val="28"/>
          <w:szCs w:val="28"/>
        </w:rPr>
      </w:pPr>
      <w:r>
        <w:rPr>
          <w:rFonts w:hint="eastAsia" w:ascii="仿宋" w:hAnsi="仿宋" w:eastAsia="仿宋"/>
          <w:sz w:val="28"/>
          <w:szCs w:val="28"/>
        </w:rPr>
        <w:t>法定代表人/执行事务合伙人/负责人/授权代表（签字）：</w:t>
      </w:r>
    </w:p>
    <w:p w14:paraId="4A7E8368">
      <w:pPr>
        <w:pStyle w:val="18"/>
        <w:snapToGrid w:val="0"/>
        <w:spacing w:before="312" w:beforeLines="100" w:after="312" w:afterLines="100"/>
        <w:ind w:firstLine="0"/>
        <w:rPr>
          <w:rFonts w:ascii="仿宋" w:hAnsi="仿宋" w:eastAsia="仿宋"/>
          <w:sz w:val="28"/>
          <w:szCs w:val="28"/>
        </w:rPr>
      </w:pPr>
    </w:p>
    <w:p w14:paraId="7283FDC7">
      <w:pPr>
        <w:pStyle w:val="18"/>
        <w:snapToGrid w:val="0"/>
        <w:spacing w:before="312" w:beforeLines="100" w:after="312" w:afterLines="100"/>
        <w:ind w:firstLine="560" w:firstLineChars="200"/>
        <w:rPr>
          <w:rFonts w:ascii="仿宋" w:hAnsi="仿宋" w:eastAsia="仿宋"/>
          <w:sz w:val="28"/>
          <w:szCs w:val="28"/>
        </w:rPr>
      </w:pPr>
      <w:r>
        <w:rPr>
          <w:rFonts w:hint="eastAsia" w:ascii="仿宋" w:hAnsi="仿宋" w:eastAsia="仿宋"/>
          <w:sz w:val="28"/>
          <w:szCs w:val="28"/>
        </w:rPr>
        <w:t>日期：</w:t>
      </w:r>
      <w:r>
        <w:rPr>
          <w:rFonts w:hint="eastAsia" w:ascii="仿宋" w:hAnsi="仿宋" w:eastAsia="仿宋"/>
          <w:sz w:val="28"/>
          <w:szCs w:val="28"/>
          <w:u w:val="single"/>
        </w:rPr>
        <w:t xml:space="preserve">        </w:t>
      </w:r>
      <w:r>
        <w:rPr>
          <w:rFonts w:hint="eastAsia" w:ascii="仿宋" w:hAnsi="仿宋" w:eastAsia="仿宋"/>
          <w:sz w:val="28"/>
          <w:szCs w:val="28"/>
        </w:rPr>
        <w:t>年</w:t>
      </w:r>
      <w:r>
        <w:rPr>
          <w:rFonts w:hint="eastAsia" w:ascii="仿宋" w:hAnsi="仿宋" w:eastAsia="仿宋"/>
          <w:sz w:val="28"/>
          <w:szCs w:val="28"/>
          <w:u w:val="single"/>
        </w:rPr>
        <w:t xml:space="preserve">    </w:t>
      </w:r>
      <w:r>
        <w:rPr>
          <w:rFonts w:hint="eastAsia" w:ascii="仿宋" w:hAnsi="仿宋" w:eastAsia="仿宋"/>
          <w:sz w:val="28"/>
          <w:szCs w:val="28"/>
        </w:rPr>
        <w:t>月</w:t>
      </w:r>
      <w:r>
        <w:rPr>
          <w:rFonts w:hint="eastAsia" w:ascii="仿宋" w:hAnsi="仿宋" w:eastAsia="仿宋"/>
          <w:sz w:val="28"/>
          <w:szCs w:val="28"/>
          <w:u w:val="single"/>
        </w:rPr>
        <w:t xml:space="preserve">    </w:t>
      </w:r>
      <w:r>
        <w:rPr>
          <w:rFonts w:hint="eastAsia" w:ascii="仿宋" w:hAnsi="仿宋" w:eastAsia="仿宋"/>
          <w:sz w:val="28"/>
          <w:szCs w:val="28"/>
        </w:rPr>
        <w:t>日</w:t>
      </w:r>
    </w:p>
    <w:sectPr>
      <w:footerReference r:id="rId4" w:type="first"/>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968A3">
    <w:pPr>
      <w:pStyle w:val="6"/>
      <w:jc w:val="center"/>
      <w:rPr>
        <w:kern w:val="0"/>
        <w:szCs w:val="21"/>
      </w:rPr>
    </w:pPr>
  </w:p>
  <w:p w14:paraId="553003BD">
    <w:pPr>
      <w:pStyle w:val="6"/>
      <w:jc w:val="center"/>
    </w:pPr>
    <w:r>
      <w:rPr>
        <w:kern w:val="0"/>
        <w:szCs w:val="21"/>
      </w:rPr>
      <w:t>第</w:t>
    </w:r>
    <w:r>
      <w:rPr>
        <w:kern w:val="0"/>
        <w:szCs w:val="21"/>
      </w:rPr>
      <w:fldChar w:fldCharType="begin"/>
    </w:r>
    <w:r>
      <w:rPr>
        <w:kern w:val="0"/>
        <w:szCs w:val="21"/>
      </w:rPr>
      <w:instrText xml:space="preserve"> PAGE </w:instrText>
    </w:r>
    <w:r>
      <w:rPr>
        <w:kern w:val="0"/>
        <w:szCs w:val="21"/>
      </w:rPr>
      <w:fldChar w:fldCharType="separate"/>
    </w:r>
    <w:r>
      <w:rPr>
        <w:kern w:val="0"/>
        <w:szCs w:val="21"/>
      </w:rPr>
      <w:t>4</w:t>
    </w:r>
    <w:r>
      <w:rPr>
        <w:kern w:val="0"/>
        <w:szCs w:val="21"/>
      </w:rPr>
      <w:fldChar w:fldCharType="end"/>
    </w:r>
    <w:r>
      <w:rPr>
        <w:kern w:val="0"/>
        <w:szCs w:val="21"/>
      </w:rPr>
      <w:t>页共</w:t>
    </w:r>
    <w:r>
      <w:rPr>
        <w:kern w:val="0"/>
        <w:szCs w:val="21"/>
      </w:rPr>
      <w:fldChar w:fldCharType="begin"/>
    </w:r>
    <w:r>
      <w:rPr>
        <w:kern w:val="0"/>
        <w:szCs w:val="21"/>
      </w:rPr>
      <w:instrText xml:space="preserve"> NUMPAGES </w:instrText>
    </w:r>
    <w:r>
      <w:rPr>
        <w:kern w:val="0"/>
        <w:szCs w:val="21"/>
      </w:rPr>
      <w:fldChar w:fldCharType="separate"/>
    </w:r>
    <w:r>
      <w:rPr>
        <w:kern w:val="0"/>
        <w:szCs w:val="21"/>
      </w:rPr>
      <w:t>5</w:t>
    </w:r>
    <w:r>
      <w:rPr>
        <w:kern w:val="0"/>
        <w:szCs w:val="21"/>
      </w:rPr>
      <w:fldChar w:fldCharType="end"/>
    </w:r>
    <w:r>
      <w:rPr>
        <w:kern w:val="0"/>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73F61">
    <w:pPr>
      <w:pStyle w:val="6"/>
      <w:jc w:val="center"/>
    </w:pPr>
    <w:r>
      <w:fldChar w:fldCharType="begin"/>
    </w:r>
    <w:r>
      <w:instrText xml:space="preserve"> PAGE   \* MERGEFORMAT </w:instrText>
    </w:r>
    <w:r>
      <w:fldChar w:fldCharType="separate"/>
    </w:r>
    <w:r>
      <w:t>1</w:t>
    </w:r>
    <w:r>
      <w:fldChar w:fldCharType="end"/>
    </w:r>
  </w:p>
  <w:p w14:paraId="2A672842">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0842D8"/>
    <w:multiLevelType w:val="multilevel"/>
    <w:tmpl w:val="100842D8"/>
    <w:lvl w:ilvl="0" w:tentative="0">
      <w:start w:val="1"/>
      <w:numFmt w:val="chineseCountingThousand"/>
      <w:lvlText w:val="第%1条"/>
      <w:lvlJc w:val="left"/>
      <w:pPr>
        <w:tabs>
          <w:tab w:val="left" w:pos="2014"/>
        </w:tabs>
        <w:ind w:left="2014" w:hanging="1021"/>
      </w:pPr>
      <w:rPr>
        <w:rFonts w:hint="default" w:cs="Times New Roman"/>
      </w:rPr>
    </w:lvl>
    <w:lvl w:ilvl="1" w:tentative="0">
      <w:start w:val="1"/>
      <w:numFmt w:val="lowerLetter"/>
      <w:lvlText w:val="%2)"/>
      <w:lvlJc w:val="left"/>
      <w:pPr>
        <w:ind w:left="1395" w:hanging="420"/>
      </w:pPr>
      <w:rPr>
        <w:rFonts w:hint="eastAsia" w:cs="Times New Roman"/>
      </w:rPr>
    </w:lvl>
    <w:lvl w:ilvl="2" w:tentative="0">
      <w:start w:val="1"/>
      <w:numFmt w:val="lowerRoman"/>
      <w:lvlText w:val="%3."/>
      <w:lvlJc w:val="right"/>
      <w:pPr>
        <w:ind w:left="1815" w:hanging="420"/>
      </w:pPr>
      <w:rPr>
        <w:rFonts w:hint="eastAsia" w:cs="Times New Roman"/>
      </w:rPr>
    </w:lvl>
    <w:lvl w:ilvl="3" w:tentative="0">
      <w:start w:val="1"/>
      <w:numFmt w:val="decimal"/>
      <w:lvlText w:val="%4."/>
      <w:lvlJc w:val="left"/>
      <w:pPr>
        <w:ind w:left="2235" w:hanging="420"/>
      </w:pPr>
      <w:rPr>
        <w:rFonts w:hint="eastAsia" w:cs="Times New Roman"/>
      </w:rPr>
    </w:lvl>
    <w:lvl w:ilvl="4" w:tentative="0">
      <w:start w:val="1"/>
      <w:numFmt w:val="lowerLetter"/>
      <w:lvlText w:val="%5)"/>
      <w:lvlJc w:val="left"/>
      <w:pPr>
        <w:ind w:left="2655" w:hanging="420"/>
      </w:pPr>
      <w:rPr>
        <w:rFonts w:hint="eastAsia" w:cs="Times New Roman"/>
      </w:rPr>
    </w:lvl>
    <w:lvl w:ilvl="5" w:tentative="0">
      <w:start w:val="1"/>
      <w:numFmt w:val="lowerRoman"/>
      <w:lvlText w:val="%6."/>
      <w:lvlJc w:val="right"/>
      <w:pPr>
        <w:ind w:left="3075" w:hanging="420"/>
      </w:pPr>
      <w:rPr>
        <w:rFonts w:hint="eastAsia" w:cs="Times New Roman"/>
      </w:rPr>
    </w:lvl>
    <w:lvl w:ilvl="6" w:tentative="0">
      <w:start w:val="1"/>
      <w:numFmt w:val="decimal"/>
      <w:lvlText w:val="%7."/>
      <w:lvlJc w:val="left"/>
      <w:pPr>
        <w:ind w:left="3495" w:hanging="420"/>
      </w:pPr>
      <w:rPr>
        <w:rFonts w:hint="eastAsia" w:cs="Times New Roman"/>
      </w:rPr>
    </w:lvl>
    <w:lvl w:ilvl="7" w:tentative="0">
      <w:start w:val="1"/>
      <w:numFmt w:val="lowerLetter"/>
      <w:lvlText w:val="%8)"/>
      <w:lvlJc w:val="left"/>
      <w:pPr>
        <w:ind w:left="3915" w:hanging="420"/>
      </w:pPr>
      <w:rPr>
        <w:rFonts w:hint="eastAsia" w:cs="Times New Roman"/>
      </w:rPr>
    </w:lvl>
    <w:lvl w:ilvl="8" w:tentative="0">
      <w:start w:val="1"/>
      <w:numFmt w:val="lowerRoman"/>
      <w:lvlText w:val="%9."/>
      <w:lvlJc w:val="right"/>
      <w:pPr>
        <w:ind w:left="4335" w:hanging="420"/>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77B6"/>
    <w:rsid w:val="00017A27"/>
    <w:rsid w:val="000402F5"/>
    <w:rsid w:val="00040781"/>
    <w:rsid w:val="00057376"/>
    <w:rsid w:val="00070965"/>
    <w:rsid w:val="00082EC0"/>
    <w:rsid w:val="00094766"/>
    <w:rsid w:val="000B3591"/>
    <w:rsid w:val="000B3D3B"/>
    <w:rsid w:val="000C0169"/>
    <w:rsid w:val="000F45E7"/>
    <w:rsid w:val="00100D7C"/>
    <w:rsid w:val="001013F6"/>
    <w:rsid w:val="0010573D"/>
    <w:rsid w:val="00114863"/>
    <w:rsid w:val="001200EB"/>
    <w:rsid w:val="00133CDA"/>
    <w:rsid w:val="00142146"/>
    <w:rsid w:val="001609C3"/>
    <w:rsid w:val="00167B46"/>
    <w:rsid w:val="00172A27"/>
    <w:rsid w:val="001851AA"/>
    <w:rsid w:val="001A706C"/>
    <w:rsid w:val="001B3FC4"/>
    <w:rsid w:val="001B6407"/>
    <w:rsid w:val="001C10D9"/>
    <w:rsid w:val="001D1FAB"/>
    <w:rsid w:val="001D3B52"/>
    <w:rsid w:val="001D53CA"/>
    <w:rsid w:val="001D5EEF"/>
    <w:rsid w:val="001E678B"/>
    <w:rsid w:val="001E6C0B"/>
    <w:rsid w:val="001F4E7D"/>
    <w:rsid w:val="001F5D09"/>
    <w:rsid w:val="00206E61"/>
    <w:rsid w:val="00213407"/>
    <w:rsid w:val="00223575"/>
    <w:rsid w:val="00231CD7"/>
    <w:rsid w:val="00247960"/>
    <w:rsid w:val="00253DD2"/>
    <w:rsid w:val="00262406"/>
    <w:rsid w:val="002630B7"/>
    <w:rsid w:val="002652C4"/>
    <w:rsid w:val="002675C8"/>
    <w:rsid w:val="002A7912"/>
    <w:rsid w:val="002B3E16"/>
    <w:rsid w:val="002B3F06"/>
    <w:rsid w:val="002C0C38"/>
    <w:rsid w:val="002C25C4"/>
    <w:rsid w:val="002E5573"/>
    <w:rsid w:val="002E6478"/>
    <w:rsid w:val="002F4C06"/>
    <w:rsid w:val="002F78C8"/>
    <w:rsid w:val="00304EB3"/>
    <w:rsid w:val="00305832"/>
    <w:rsid w:val="00307718"/>
    <w:rsid w:val="0032228B"/>
    <w:rsid w:val="00335046"/>
    <w:rsid w:val="00340B0F"/>
    <w:rsid w:val="0034719C"/>
    <w:rsid w:val="0035008F"/>
    <w:rsid w:val="00361C4D"/>
    <w:rsid w:val="0037541A"/>
    <w:rsid w:val="00380CDB"/>
    <w:rsid w:val="00390B1D"/>
    <w:rsid w:val="003A36CE"/>
    <w:rsid w:val="003A7C5B"/>
    <w:rsid w:val="003D76F6"/>
    <w:rsid w:val="003E293D"/>
    <w:rsid w:val="003E296B"/>
    <w:rsid w:val="003F75A6"/>
    <w:rsid w:val="003F76D2"/>
    <w:rsid w:val="004073E0"/>
    <w:rsid w:val="00410095"/>
    <w:rsid w:val="00412D76"/>
    <w:rsid w:val="00417C8C"/>
    <w:rsid w:val="00432157"/>
    <w:rsid w:val="004350C2"/>
    <w:rsid w:val="00436F12"/>
    <w:rsid w:val="00441869"/>
    <w:rsid w:val="00441DD9"/>
    <w:rsid w:val="0047421F"/>
    <w:rsid w:val="004C0403"/>
    <w:rsid w:val="004C467E"/>
    <w:rsid w:val="004D11F8"/>
    <w:rsid w:val="004D3EBF"/>
    <w:rsid w:val="004E7DC4"/>
    <w:rsid w:val="00501A55"/>
    <w:rsid w:val="00501DF4"/>
    <w:rsid w:val="00514F9C"/>
    <w:rsid w:val="00526AAF"/>
    <w:rsid w:val="00531973"/>
    <w:rsid w:val="00535BE7"/>
    <w:rsid w:val="00545916"/>
    <w:rsid w:val="00546A5A"/>
    <w:rsid w:val="00547511"/>
    <w:rsid w:val="005524C0"/>
    <w:rsid w:val="00556842"/>
    <w:rsid w:val="00560A4A"/>
    <w:rsid w:val="005629AF"/>
    <w:rsid w:val="00563797"/>
    <w:rsid w:val="00564713"/>
    <w:rsid w:val="005728E0"/>
    <w:rsid w:val="00572A7F"/>
    <w:rsid w:val="00583A05"/>
    <w:rsid w:val="005852F0"/>
    <w:rsid w:val="00585425"/>
    <w:rsid w:val="005855C9"/>
    <w:rsid w:val="005909E1"/>
    <w:rsid w:val="00596A4D"/>
    <w:rsid w:val="005B0FBE"/>
    <w:rsid w:val="005B21E9"/>
    <w:rsid w:val="005D05D3"/>
    <w:rsid w:val="005F2E2A"/>
    <w:rsid w:val="00607DA4"/>
    <w:rsid w:val="00621AE9"/>
    <w:rsid w:val="00634FBB"/>
    <w:rsid w:val="00642E19"/>
    <w:rsid w:val="0064619C"/>
    <w:rsid w:val="00657F39"/>
    <w:rsid w:val="00666206"/>
    <w:rsid w:val="006716BC"/>
    <w:rsid w:val="00671F33"/>
    <w:rsid w:val="006721C1"/>
    <w:rsid w:val="00677210"/>
    <w:rsid w:val="00677693"/>
    <w:rsid w:val="0068585E"/>
    <w:rsid w:val="00690DD4"/>
    <w:rsid w:val="006A1A35"/>
    <w:rsid w:val="006A69E3"/>
    <w:rsid w:val="006B0289"/>
    <w:rsid w:val="006B0BB3"/>
    <w:rsid w:val="006B2A66"/>
    <w:rsid w:val="006C1D39"/>
    <w:rsid w:val="006D74D7"/>
    <w:rsid w:val="006E5D1B"/>
    <w:rsid w:val="006E7430"/>
    <w:rsid w:val="0070584F"/>
    <w:rsid w:val="00711E2E"/>
    <w:rsid w:val="007203A0"/>
    <w:rsid w:val="00721D01"/>
    <w:rsid w:val="00780F55"/>
    <w:rsid w:val="00785CD3"/>
    <w:rsid w:val="0079104D"/>
    <w:rsid w:val="007930B4"/>
    <w:rsid w:val="007A1AEF"/>
    <w:rsid w:val="007B55AB"/>
    <w:rsid w:val="007B7A4F"/>
    <w:rsid w:val="007E3B79"/>
    <w:rsid w:val="00805DFC"/>
    <w:rsid w:val="008233DE"/>
    <w:rsid w:val="00827517"/>
    <w:rsid w:val="00830F24"/>
    <w:rsid w:val="00847DBE"/>
    <w:rsid w:val="00871F83"/>
    <w:rsid w:val="00876021"/>
    <w:rsid w:val="00877FA2"/>
    <w:rsid w:val="00883309"/>
    <w:rsid w:val="00884773"/>
    <w:rsid w:val="00885218"/>
    <w:rsid w:val="00890F23"/>
    <w:rsid w:val="008B0BB2"/>
    <w:rsid w:val="008C42A4"/>
    <w:rsid w:val="008C4B5E"/>
    <w:rsid w:val="008C6F8E"/>
    <w:rsid w:val="008D0723"/>
    <w:rsid w:val="008D078F"/>
    <w:rsid w:val="008D69EA"/>
    <w:rsid w:val="008E3773"/>
    <w:rsid w:val="008F5CA8"/>
    <w:rsid w:val="009060DD"/>
    <w:rsid w:val="009116BD"/>
    <w:rsid w:val="0091634F"/>
    <w:rsid w:val="00930839"/>
    <w:rsid w:val="009471EC"/>
    <w:rsid w:val="00952D53"/>
    <w:rsid w:val="0096046A"/>
    <w:rsid w:val="00965581"/>
    <w:rsid w:val="009A3CDB"/>
    <w:rsid w:val="009C042F"/>
    <w:rsid w:val="009C4073"/>
    <w:rsid w:val="009C51B7"/>
    <w:rsid w:val="009D30E6"/>
    <w:rsid w:val="00A14826"/>
    <w:rsid w:val="00A14D84"/>
    <w:rsid w:val="00A17F29"/>
    <w:rsid w:val="00A2423A"/>
    <w:rsid w:val="00A24E2F"/>
    <w:rsid w:val="00A25902"/>
    <w:rsid w:val="00A262F8"/>
    <w:rsid w:val="00A33AD9"/>
    <w:rsid w:val="00A33B58"/>
    <w:rsid w:val="00A456D7"/>
    <w:rsid w:val="00A53609"/>
    <w:rsid w:val="00A54D58"/>
    <w:rsid w:val="00A841F6"/>
    <w:rsid w:val="00AA7827"/>
    <w:rsid w:val="00AC7A50"/>
    <w:rsid w:val="00AD53A0"/>
    <w:rsid w:val="00AE5328"/>
    <w:rsid w:val="00AE6D5B"/>
    <w:rsid w:val="00B1307D"/>
    <w:rsid w:val="00B22692"/>
    <w:rsid w:val="00B23412"/>
    <w:rsid w:val="00B24F59"/>
    <w:rsid w:val="00B25C98"/>
    <w:rsid w:val="00B37991"/>
    <w:rsid w:val="00B4106F"/>
    <w:rsid w:val="00B43CA4"/>
    <w:rsid w:val="00B5015B"/>
    <w:rsid w:val="00B527AD"/>
    <w:rsid w:val="00B6316F"/>
    <w:rsid w:val="00B66E95"/>
    <w:rsid w:val="00B7102A"/>
    <w:rsid w:val="00B76EF3"/>
    <w:rsid w:val="00B836D1"/>
    <w:rsid w:val="00B87877"/>
    <w:rsid w:val="00B900D4"/>
    <w:rsid w:val="00BB080C"/>
    <w:rsid w:val="00BB0CF2"/>
    <w:rsid w:val="00BD3AD8"/>
    <w:rsid w:val="00BD5429"/>
    <w:rsid w:val="00C01759"/>
    <w:rsid w:val="00C150EF"/>
    <w:rsid w:val="00C23A3F"/>
    <w:rsid w:val="00C24C0B"/>
    <w:rsid w:val="00C25978"/>
    <w:rsid w:val="00C26E51"/>
    <w:rsid w:val="00C54997"/>
    <w:rsid w:val="00C55FE0"/>
    <w:rsid w:val="00C75CEB"/>
    <w:rsid w:val="00C76AF6"/>
    <w:rsid w:val="00C81112"/>
    <w:rsid w:val="00C84D80"/>
    <w:rsid w:val="00C87523"/>
    <w:rsid w:val="00C93BD0"/>
    <w:rsid w:val="00CB7628"/>
    <w:rsid w:val="00CC5D94"/>
    <w:rsid w:val="00CD4383"/>
    <w:rsid w:val="00CE1594"/>
    <w:rsid w:val="00CE62DA"/>
    <w:rsid w:val="00CF20B6"/>
    <w:rsid w:val="00CF231E"/>
    <w:rsid w:val="00CF2A20"/>
    <w:rsid w:val="00D21C26"/>
    <w:rsid w:val="00D26C01"/>
    <w:rsid w:val="00D364A2"/>
    <w:rsid w:val="00D36866"/>
    <w:rsid w:val="00D6674A"/>
    <w:rsid w:val="00D742C3"/>
    <w:rsid w:val="00D9057D"/>
    <w:rsid w:val="00D91639"/>
    <w:rsid w:val="00D93410"/>
    <w:rsid w:val="00DA2DC5"/>
    <w:rsid w:val="00DA49B9"/>
    <w:rsid w:val="00DB777C"/>
    <w:rsid w:val="00DD16C9"/>
    <w:rsid w:val="00DD4AAF"/>
    <w:rsid w:val="00DF03EE"/>
    <w:rsid w:val="00E00047"/>
    <w:rsid w:val="00E11070"/>
    <w:rsid w:val="00E11CF6"/>
    <w:rsid w:val="00E14847"/>
    <w:rsid w:val="00E244BC"/>
    <w:rsid w:val="00E27DB7"/>
    <w:rsid w:val="00E30307"/>
    <w:rsid w:val="00E35670"/>
    <w:rsid w:val="00E35A1E"/>
    <w:rsid w:val="00E4402E"/>
    <w:rsid w:val="00E4610C"/>
    <w:rsid w:val="00E57C57"/>
    <w:rsid w:val="00E61552"/>
    <w:rsid w:val="00E70724"/>
    <w:rsid w:val="00E713C8"/>
    <w:rsid w:val="00E72EA2"/>
    <w:rsid w:val="00E82C03"/>
    <w:rsid w:val="00E8486B"/>
    <w:rsid w:val="00E874B8"/>
    <w:rsid w:val="00E90EEF"/>
    <w:rsid w:val="00EA58C8"/>
    <w:rsid w:val="00EA6891"/>
    <w:rsid w:val="00EB5176"/>
    <w:rsid w:val="00EB5B8D"/>
    <w:rsid w:val="00EC6E14"/>
    <w:rsid w:val="00ED6874"/>
    <w:rsid w:val="00EE0B95"/>
    <w:rsid w:val="00EE31F5"/>
    <w:rsid w:val="00EF7549"/>
    <w:rsid w:val="00F00A89"/>
    <w:rsid w:val="00F02341"/>
    <w:rsid w:val="00F149B9"/>
    <w:rsid w:val="00F151B4"/>
    <w:rsid w:val="00F17912"/>
    <w:rsid w:val="00F17E48"/>
    <w:rsid w:val="00F20778"/>
    <w:rsid w:val="00F364AB"/>
    <w:rsid w:val="00F40E84"/>
    <w:rsid w:val="00F503B5"/>
    <w:rsid w:val="00F51BBC"/>
    <w:rsid w:val="00F61EC6"/>
    <w:rsid w:val="00F61FAA"/>
    <w:rsid w:val="00F639A1"/>
    <w:rsid w:val="00F75EB7"/>
    <w:rsid w:val="00F8445E"/>
    <w:rsid w:val="00F844AE"/>
    <w:rsid w:val="00F90841"/>
    <w:rsid w:val="00F90FD3"/>
    <w:rsid w:val="00FD1DFC"/>
    <w:rsid w:val="7CB13A2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semiHidden="0"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nhideWhenUsed="0"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qFormat/>
    <w:uiPriority w:val="99"/>
    <w:pPr>
      <w:keepNext/>
      <w:keepLines/>
      <w:spacing w:before="340" w:after="330" w:line="576" w:lineRule="auto"/>
      <w:outlineLvl w:val="0"/>
    </w:pPr>
    <w:rPr>
      <w:b/>
      <w:bCs/>
      <w:kern w:val="44"/>
      <w:sz w:val="44"/>
      <w:szCs w:val="44"/>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Document Map"/>
    <w:basedOn w:val="1"/>
    <w:link w:val="20"/>
    <w:uiPriority w:val="99"/>
    <w:pPr>
      <w:shd w:val="clear" w:color="auto" w:fill="000080"/>
    </w:pPr>
  </w:style>
  <w:style w:type="paragraph" w:styleId="4">
    <w:name w:val="annotation text"/>
    <w:basedOn w:val="1"/>
    <w:link w:val="21"/>
    <w:qFormat/>
    <w:uiPriority w:val="99"/>
    <w:pPr>
      <w:jc w:val="left"/>
    </w:pPr>
  </w:style>
  <w:style w:type="paragraph" w:styleId="5">
    <w:name w:val="Balloon Text"/>
    <w:basedOn w:val="1"/>
    <w:link w:val="15"/>
    <w:uiPriority w:val="99"/>
    <w:rPr>
      <w:sz w:val="18"/>
      <w:szCs w:val="18"/>
    </w:rPr>
  </w:style>
  <w:style w:type="paragraph" w:styleId="6">
    <w:name w:val="footer"/>
    <w:basedOn w:val="1"/>
    <w:link w:val="13"/>
    <w:uiPriority w:val="99"/>
    <w:pPr>
      <w:tabs>
        <w:tab w:val="center" w:pos="4153"/>
        <w:tab w:val="right" w:pos="8306"/>
      </w:tabs>
      <w:snapToGrid w:val="0"/>
      <w:jc w:val="left"/>
    </w:pPr>
    <w:rPr>
      <w:sz w:val="18"/>
      <w:szCs w:val="18"/>
    </w:rPr>
  </w:style>
  <w:style w:type="paragraph" w:styleId="7">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4"/>
    <w:next w:val="4"/>
    <w:link w:val="22"/>
    <w:semiHidden/>
    <w:uiPriority w:val="99"/>
    <w:rPr>
      <w:b/>
      <w:bCs/>
    </w:rPr>
  </w:style>
  <w:style w:type="character" w:styleId="11">
    <w:name w:val="annotation reference"/>
    <w:basedOn w:val="10"/>
    <w:semiHidden/>
    <w:qFormat/>
    <w:uiPriority w:val="99"/>
    <w:rPr>
      <w:rFonts w:cs="Times New Roman"/>
      <w:sz w:val="21"/>
      <w:szCs w:val="21"/>
    </w:rPr>
  </w:style>
  <w:style w:type="character" w:customStyle="1" w:styleId="12">
    <w:name w:val="标题 1 字符"/>
    <w:basedOn w:val="10"/>
    <w:link w:val="2"/>
    <w:qFormat/>
    <w:locked/>
    <w:uiPriority w:val="99"/>
    <w:rPr>
      <w:rFonts w:ascii="Times New Roman" w:hAnsi="Times New Roman" w:eastAsia="宋体" w:cs="Times New Roman"/>
      <w:b/>
      <w:bCs/>
      <w:kern w:val="44"/>
      <w:sz w:val="44"/>
      <w:szCs w:val="44"/>
    </w:rPr>
  </w:style>
  <w:style w:type="character" w:customStyle="1" w:styleId="13">
    <w:name w:val="页脚 字符"/>
    <w:basedOn w:val="10"/>
    <w:link w:val="6"/>
    <w:locked/>
    <w:uiPriority w:val="99"/>
    <w:rPr>
      <w:rFonts w:cs="Times New Roman"/>
      <w:sz w:val="18"/>
      <w:szCs w:val="18"/>
    </w:rPr>
  </w:style>
  <w:style w:type="character" w:customStyle="1" w:styleId="14">
    <w:name w:val="页眉 字符"/>
    <w:basedOn w:val="10"/>
    <w:link w:val="7"/>
    <w:locked/>
    <w:uiPriority w:val="99"/>
    <w:rPr>
      <w:rFonts w:cs="Times New Roman"/>
      <w:sz w:val="18"/>
      <w:szCs w:val="18"/>
    </w:rPr>
  </w:style>
  <w:style w:type="character" w:customStyle="1" w:styleId="15">
    <w:name w:val="批注框文本 字符"/>
    <w:basedOn w:val="10"/>
    <w:link w:val="5"/>
    <w:qFormat/>
    <w:locked/>
    <w:uiPriority w:val="99"/>
    <w:rPr>
      <w:rFonts w:ascii="Times New Roman" w:hAnsi="Times New Roman" w:cs="Times New Roman"/>
      <w:kern w:val="2"/>
      <w:sz w:val="18"/>
      <w:szCs w:val="18"/>
    </w:rPr>
  </w:style>
  <w:style w:type="character" w:customStyle="1" w:styleId="16">
    <w:name w:val="Footer Char1"/>
    <w:basedOn w:val="10"/>
    <w:semiHidden/>
    <w:uiPriority w:val="99"/>
    <w:rPr>
      <w:rFonts w:ascii="Times New Roman" w:hAnsi="Times New Roman"/>
      <w:sz w:val="18"/>
      <w:szCs w:val="18"/>
    </w:rPr>
  </w:style>
  <w:style w:type="character" w:customStyle="1" w:styleId="17">
    <w:name w:val="Balloon Text Char1"/>
    <w:basedOn w:val="10"/>
    <w:semiHidden/>
    <w:qFormat/>
    <w:uiPriority w:val="99"/>
    <w:rPr>
      <w:rFonts w:ascii="Times New Roman" w:hAnsi="Times New Roman"/>
      <w:sz w:val="0"/>
      <w:szCs w:val="0"/>
    </w:rPr>
  </w:style>
  <w:style w:type="paragraph" w:customStyle="1" w:styleId="18">
    <w:name w:val="正文文本 21"/>
    <w:basedOn w:val="1"/>
    <w:uiPriority w:val="99"/>
    <w:pPr>
      <w:adjustRightInd w:val="0"/>
      <w:spacing w:line="360" w:lineRule="auto"/>
      <w:ind w:firstLine="480"/>
    </w:pPr>
    <w:rPr>
      <w:rFonts w:ascii="宋体"/>
      <w:kern w:val="0"/>
      <w:sz w:val="24"/>
      <w:szCs w:val="20"/>
    </w:rPr>
  </w:style>
  <w:style w:type="character" w:customStyle="1" w:styleId="19">
    <w:name w:val="Header Char1"/>
    <w:basedOn w:val="10"/>
    <w:semiHidden/>
    <w:qFormat/>
    <w:uiPriority w:val="99"/>
    <w:rPr>
      <w:rFonts w:ascii="Times New Roman" w:hAnsi="Times New Roman"/>
      <w:sz w:val="18"/>
      <w:szCs w:val="18"/>
    </w:rPr>
  </w:style>
  <w:style w:type="character" w:customStyle="1" w:styleId="20">
    <w:name w:val="文档结构图 字符"/>
    <w:basedOn w:val="10"/>
    <w:link w:val="3"/>
    <w:semiHidden/>
    <w:qFormat/>
    <w:uiPriority w:val="99"/>
    <w:rPr>
      <w:rFonts w:ascii="Times New Roman" w:hAnsi="Times New Roman"/>
      <w:sz w:val="0"/>
      <w:szCs w:val="0"/>
    </w:rPr>
  </w:style>
  <w:style w:type="character" w:customStyle="1" w:styleId="21">
    <w:name w:val="批注文字 字符"/>
    <w:basedOn w:val="10"/>
    <w:link w:val="4"/>
    <w:qFormat/>
    <w:locked/>
    <w:uiPriority w:val="99"/>
    <w:rPr>
      <w:rFonts w:ascii="Times New Roman" w:hAnsi="Times New Roman" w:cs="Times New Roman"/>
      <w:kern w:val="2"/>
      <w:sz w:val="24"/>
      <w:szCs w:val="24"/>
    </w:rPr>
  </w:style>
  <w:style w:type="character" w:customStyle="1" w:styleId="22">
    <w:name w:val="批注主题 字符"/>
    <w:basedOn w:val="21"/>
    <w:link w:val="8"/>
    <w:locked/>
    <w:uiPriority w:val="99"/>
    <w:rPr>
      <w:rFonts w:ascii="Times New Roman" w:hAnsi="Times New Roman" w:cs="Times New Roman"/>
      <w:kern w:val="2"/>
      <w:sz w:val="24"/>
      <w:szCs w:val="24"/>
    </w:rPr>
  </w:style>
  <w:style w:type="paragraph" w:customStyle="1" w:styleId="23">
    <w:name w:val="正文文本 22"/>
    <w:basedOn w:val="1"/>
    <w:uiPriority w:val="0"/>
    <w:pPr>
      <w:adjustRightInd w:val="0"/>
      <w:spacing w:line="360" w:lineRule="auto"/>
      <w:ind w:firstLine="480"/>
    </w:pPr>
    <w:rPr>
      <w:rFonts w:hint="eastAsia" w:ascii="宋体"/>
      <w:kern w:val="0"/>
      <w:sz w:val="24"/>
      <w:szCs w:val="20"/>
    </w:rPr>
  </w:style>
  <w:style w:type="paragraph" w:customStyle="1" w:styleId="24">
    <w:name w:val="正文文本 23"/>
    <w:basedOn w:val="1"/>
    <w:qFormat/>
    <w:uiPriority w:val="0"/>
    <w:pPr>
      <w:adjustRightInd w:val="0"/>
      <w:spacing w:line="360" w:lineRule="auto"/>
      <w:ind w:firstLine="480"/>
    </w:pPr>
    <w:rPr>
      <w:rFonts w:hint="eastAsia" w:ascii="宋体"/>
      <w:kern w:val="0"/>
      <w:sz w:val="24"/>
      <w:szCs w:val="20"/>
    </w:rPr>
  </w:style>
  <w:style w:type="paragraph" w:customStyle="1" w:styleId="25">
    <w:name w:val="正文文本 24"/>
    <w:basedOn w:val="1"/>
    <w:qFormat/>
    <w:uiPriority w:val="0"/>
    <w:pPr>
      <w:adjustRightInd w:val="0"/>
      <w:spacing w:line="360" w:lineRule="auto"/>
      <w:ind w:firstLine="480"/>
    </w:pPr>
    <w:rPr>
      <w:rFonts w:hint="eastAsia" w:ascii="宋体"/>
      <w:kern w:val="0"/>
      <w:sz w:val="24"/>
      <w:szCs w:val="20"/>
    </w:rPr>
  </w:style>
  <w:style w:type="paragraph" w:customStyle="1" w:styleId="26">
    <w:name w:val="正文文本 25"/>
    <w:basedOn w:val="1"/>
    <w:qFormat/>
    <w:uiPriority w:val="0"/>
    <w:pPr>
      <w:adjustRightInd w:val="0"/>
      <w:spacing w:line="360" w:lineRule="auto"/>
      <w:ind w:firstLine="480"/>
    </w:pPr>
    <w:rPr>
      <w:rFonts w:hint="eastAsia" w:ascii="宋体"/>
      <w:kern w:val="0"/>
      <w:sz w:val="24"/>
      <w:szCs w:val="20"/>
    </w:rPr>
  </w:style>
  <w:style w:type="paragraph" w:customStyle="1" w:styleId="27">
    <w:name w:val="正文文本 26"/>
    <w:basedOn w:val="1"/>
    <w:qFormat/>
    <w:uiPriority w:val="0"/>
    <w:pPr>
      <w:adjustRightInd w:val="0"/>
      <w:spacing w:line="360" w:lineRule="auto"/>
      <w:ind w:firstLine="480"/>
    </w:pPr>
    <w:rPr>
      <w:rFonts w:hint="eastAsia" w:ascii="宋体"/>
      <w:kern w:val="0"/>
      <w:sz w:val="24"/>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H:\2013-06-08\&#21327;&#35758;-0608&#20462;&#25913;&#29256;\Normal_Wordconv.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B5E9E-D2E8-4388-A204-92F1EECD1FF3}">
  <ds:schemaRefs/>
</ds:datastoreItem>
</file>

<file path=docProps/app.xml><?xml version="1.0" encoding="utf-8"?>
<Properties xmlns="http://schemas.openxmlformats.org/officeDocument/2006/extended-properties" xmlns:vt="http://schemas.openxmlformats.org/officeDocument/2006/docPropsVTypes">
  <Template>Normal_Wordconv</Template>
  <Company>重庆股份转让中心</Company>
  <Pages>6</Pages>
  <Words>1517</Words>
  <Characters>1537</Characters>
  <Lines>11</Lines>
  <Paragraphs>3</Paragraphs>
  <TotalTime>376</TotalTime>
  <ScaleCrop>false</ScaleCrop>
  <LinksUpToDate>false</LinksUpToDate>
  <CharactersWithSpaces>1611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2013-08-15T08:18:00Z</dcterms:created>
  <dc:creator>王培</dc:creator>
  <cp:lastModifiedBy>龚馨玥 </cp:lastModifiedBy>
  <cp:lastPrinted>2015-05-18T02:27:00Z</cp:lastPrinted>
  <dcterms:modified xsi:type="dcterms:W3CDTF">2026-06-11T06:30:31Z</dcterms:modified>
  <dc:title>上海股权托管交易中心股份有限公司</dc:title>
  <cp:revision>123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eyJoZGlkIjoiYjQ0NmE3Mjk1M2YzYTExM2E2YzZmZmQyODE3OTEwMTgiLCJ1c2VySWQiOiIzNjM0OTU2NzUifQ==</vt:lpwstr>
  </property>
  <property fmtid="{D5CDD505-2E9C-101B-9397-08002B2CF9AE}" pid="4" name="ICV">
    <vt:lpwstr>E2514F8966D348FEB621341076ED57DC_12</vt:lpwstr>
  </property>
</Properties>
</file>