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89835">
      <w:pPr>
        <w:jc w:val="center"/>
        <w:rPr>
          <w:rFonts w:ascii="黑体" w:hAnsi="黑体" w:eastAsia="黑体"/>
          <w:sz w:val="32"/>
          <w:szCs w:val="32"/>
        </w:rPr>
      </w:pPr>
      <w:r>
        <w:rPr>
          <w:rFonts w:hint="eastAsia" w:ascii="黑体" w:hAnsi="黑体" w:eastAsia="黑体"/>
          <w:sz w:val="32"/>
          <w:szCs w:val="32"/>
        </w:rPr>
        <w:t>中介机构申请上海股权托管交易中心</w:t>
      </w:r>
    </w:p>
    <w:p w14:paraId="7D3C76A1">
      <w:pPr>
        <w:jc w:val="center"/>
        <w:rPr>
          <w:rFonts w:ascii="黑体" w:hAnsi="黑体" w:eastAsia="黑体"/>
          <w:sz w:val="32"/>
          <w:szCs w:val="32"/>
        </w:rPr>
      </w:pPr>
      <w:r>
        <w:rPr>
          <w:rFonts w:hint="eastAsia" w:ascii="黑体" w:hAnsi="黑体" w:eastAsia="黑体"/>
          <w:sz w:val="32"/>
          <w:szCs w:val="32"/>
        </w:rPr>
        <w:t>交易服务业务资格自律承诺书</w:t>
      </w:r>
    </w:p>
    <w:p w14:paraId="712C8B23">
      <w:pPr>
        <w:autoSpaceDE w:val="0"/>
        <w:autoSpaceDN w:val="0"/>
        <w:adjustRightInd w:val="0"/>
        <w:jc w:val="left"/>
        <w:rPr>
          <w:rFonts w:ascii="黑体" w:hAnsi="黑体" w:eastAsia="黑体" w:cs="宋体"/>
          <w:kern w:val="0"/>
          <w:sz w:val="32"/>
          <w:szCs w:val="21"/>
        </w:rPr>
      </w:pPr>
    </w:p>
    <w:p w14:paraId="16803FBE">
      <w:pPr>
        <w:autoSpaceDE w:val="0"/>
        <w:autoSpaceDN w:val="0"/>
        <w:adjustRightInd w:val="0"/>
        <w:jc w:val="left"/>
        <w:rPr>
          <w:rFonts w:ascii="仿宋" w:hAnsi="仿宋" w:eastAsia="仿宋" w:cs="仿宋_GB2312"/>
          <w:b/>
          <w:kern w:val="0"/>
          <w:sz w:val="28"/>
          <w:szCs w:val="28"/>
        </w:rPr>
      </w:pPr>
      <w:r>
        <w:rPr>
          <w:rFonts w:hint="eastAsia" w:ascii="仿宋" w:hAnsi="仿宋" w:eastAsia="仿宋" w:cs="仿宋_GB2312"/>
          <w:b/>
          <w:kern w:val="0"/>
          <w:sz w:val="28"/>
          <w:szCs w:val="28"/>
        </w:rPr>
        <w:t>上海股权托管交易中心：</w:t>
      </w:r>
    </w:p>
    <w:p w14:paraId="4238F954">
      <w:pPr>
        <w:autoSpaceDE w:val="0"/>
        <w:autoSpaceDN w:val="0"/>
        <w:adjustRightInd w:val="0"/>
        <w:ind w:firstLine="677" w:firstLineChars="242"/>
        <w:jc w:val="left"/>
        <w:rPr>
          <w:rFonts w:ascii="仿宋" w:hAnsi="仿宋" w:eastAsia="仿宋" w:cs="仿宋_GB2312"/>
          <w:kern w:val="0"/>
          <w:sz w:val="28"/>
          <w:szCs w:val="28"/>
        </w:rPr>
      </w:pPr>
      <w:r>
        <w:rPr>
          <w:rFonts w:hint="eastAsia" w:ascii="仿宋" w:hAnsi="仿宋" w:eastAsia="仿宋" w:cs="宋体"/>
          <w:kern w:val="0"/>
          <w:sz w:val="28"/>
        </w:rPr>
        <w:t>*****</w:t>
      </w:r>
      <w:r>
        <w:rPr>
          <w:rFonts w:hint="eastAsia" w:ascii="仿宋" w:hAnsi="仿宋" w:eastAsia="仿宋" w:cs="仿宋_GB2312"/>
          <w:kern w:val="0"/>
          <w:sz w:val="28"/>
          <w:szCs w:val="28"/>
        </w:rPr>
        <w:t>（以下简称“本公司/本单位</w:t>
      </w:r>
      <w:r>
        <w:rPr>
          <w:rFonts w:ascii="仿宋" w:hAnsi="仿宋" w:eastAsia="仿宋" w:cs="仿宋_GB2312"/>
          <w:kern w:val="0"/>
          <w:sz w:val="28"/>
          <w:szCs w:val="28"/>
        </w:rPr>
        <w:t>”</w:t>
      </w:r>
      <w:r>
        <w:rPr>
          <w:rFonts w:hint="eastAsia" w:ascii="仿宋" w:hAnsi="仿宋" w:eastAsia="仿宋" w:cs="仿宋_GB2312"/>
          <w:kern w:val="0"/>
          <w:sz w:val="28"/>
          <w:szCs w:val="28"/>
        </w:rPr>
        <w:t>）就申请获得上海股权托管交易中心</w:t>
      </w:r>
      <w:r>
        <w:rPr>
          <w:rFonts w:hint="eastAsia" w:ascii="仿宋" w:hAnsi="仿宋" w:eastAsia="仿宋"/>
          <w:sz w:val="28"/>
          <w:szCs w:val="28"/>
        </w:rPr>
        <w:t>交易服务</w:t>
      </w:r>
      <w:r>
        <w:rPr>
          <w:rFonts w:ascii="仿宋" w:hAnsi="仿宋" w:eastAsia="仿宋"/>
          <w:sz w:val="28"/>
          <w:szCs w:val="28"/>
        </w:rPr>
        <w:t>业务资格</w:t>
      </w:r>
      <w:r>
        <w:rPr>
          <w:rFonts w:hint="eastAsia" w:ascii="仿宋" w:hAnsi="仿宋" w:eastAsia="仿宋" w:cs="仿宋_GB2312"/>
          <w:kern w:val="0"/>
          <w:sz w:val="28"/>
          <w:szCs w:val="28"/>
        </w:rPr>
        <w:t>开展相关业务，特承诺如下：</w:t>
      </w:r>
    </w:p>
    <w:p w14:paraId="3F104E3E">
      <w:pPr>
        <w:autoSpaceDE w:val="0"/>
        <w:autoSpaceDN w:val="0"/>
        <w:adjustRightInd w:val="0"/>
        <w:ind w:firstLine="680" w:firstLineChars="242"/>
        <w:jc w:val="left"/>
        <w:rPr>
          <w:rFonts w:ascii="仿宋" w:hAnsi="仿宋" w:eastAsia="仿宋" w:cs="仿宋_GB2312"/>
          <w:kern w:val="0"/>
          <w:sz w:val="28"/>
          <w:szCs w:val="28"/>
        </w:rPr>
      </w:pPr>
      <w:r>
        <w:rPr>
          <w:rFonts w:hint="eastAsia" w:ascii="仿宋" w:hAnsi="仿宋" w:eastAsia="仿宋" w:cs="仿宋_GB2312"/>
          <w:b/>
          <w:kern w:val="0"/>
          <w:sz w:val="28"/>
          <w:szCs w:val="28"/>
        </w:rPr>
        <w:t>一、内部管理</w:t>
      </w:r>
    </w:p>
    <w:p w14:paraId="1D91F2B2">
      <w:pPr>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（一）遵守上海股权托管交易中心（以下简称“上股交”）相关规则，认真履行中介机构的职责和义务，正确行使中介机构权利，按时缴纳相关费用。</w:t>
      </w:r>
    </w:p>
    <w:p w14:paraId="01A87472">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（二）设置专门的机构，配备专职业务人员；由本公司/本单位高级管理人员负责日常相关业务管理。</w:t>
      </w:r>
    </w:p>
    <w:p w14:paraId="1D78A03A">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（三</w:t>
      </w:r>
      <w:r>
        <w:rPr>
          <w:rFonts w:ascii="仿宋" w:hAnsi="仿宋" w:eastAsia="仿宋" w:cs="仿宋_GB2312"/>
          <w:kern w:val="0"/>
          <w:sz w:val="28"/>
          <w:szCs w:val="28"/>
        </w:rPr>
        <w:t>）</w:t>
      </w:r>
      <w:r>
        <w:rPr>
          <w:rFonts w:hint="eastAsia" w:ascii="仿宋" w:hAnsi="仿宋" w:eastAsia="仿宋" w:cs="仿宋_GB2312"/>
          <w:kern w:val="0"/>
          <w:sz w:val="28"/>
          <w:szCs w:val="28"/>
        </w:rPr>
        <w:t>专职业务人员熟悉相关法律法规、政策性规定及上股交相关业务规则。</w:t>
      </w:r>
    </w:p>
    <w:p w14:paraId="09CB3AC2">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（四）业务代表、业务联络人及有关从业人员按照上股交的要求参加相关业务培训。</w:t>
      </w:r>
    </w:p>
    <w:p w14:paraId="46D937C7">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（五）建立健全本公司/本单位内部管理制度、风险防范机制和投资者适当性管理制度，并严格执行。</w:t>
      </w:r>
    </w:p>
    <w:p w14:paraId="35EDCF76">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hAnsi="仿宋" w:eastAsia="仿宋"/>
          <w:color w:val="000000"/>
          <w:kern w:val="0"/>
          <w:sz w:val="28"/>
          <w:szCs w:val="28"/>
        </w:rPr>
        <w:t>（六）加强分支机构管理，审慎、规范开展与其他机构或个人涉及有关业务的合作。</w:t>
      </w:r>
    </w:p>
    <w:p w14:paraId="0C9C08EF">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hAnsi="仿宋" w:eastAsia="仿宋"/>
          <w:color w:val="000000"/>
          <w:kern w:val="0"/>
          <w:sz w:val="28"/>
          <w:szCs w:val="28"/>
        </w:rPr>
        <w:t>（七）建立健全业务隔离制度，保证不利用申请挂牌公司、挂牌公司、发行人尚未披露的信息为自己或他人直接或间接谋取不当利益，不利用投资者账户或代理投资者进行任何操作。</w:t>
      </w:r>
    </w:p>
    <w:p w14:paraId="3BD0D5C3">
      <w:pPr>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（八）在开展业务过程中遇到现行规则未作规定的重大事项时，及时报告上股交，并按照上股交的要求进行处理。</w:t>
      </w:r>
    </w:p>
    <w:p w14:paraId="3B22ECD6">
      <w:pPr>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（九）</w:t>
      </w:r>
      <w:r>
        <w:rPr>
          <w:rFonts w:hint="eastAsia" w:hAnsi="仿宋" w:eastAsia="仿宋"/>
          <w:color w:val="000000"/>
          <w:sz w:val="28"/>
          <w:szCs w:val="28"/>
        </w:rPr>
        <w:t>建立健全业务档案管理制度，将尽职调查工作底稿、尽职调查意见、服务协议等归入业务档案，保存期限在相应业务到期后不少于二十年。</w:t>
      </w:r>
    </w:p>
    <w:p w14:paraId="5C9DA922">
      <w:pPr>
        <w:autoSpaceDE w:val="0"/>
        <w:autoSpaceDN w:val="0"/>
        <w:adjustRightInd w:val="0"/>
        <w:ind w:firstLine="540" w:firstLineChars="192"/>
        <w:jc w:val="left"/>
        <w:rPr>
          <w:rFonts w:ascii="仿宋" w:hAnsi="仿宋" w:eastAsia="仿宋" w:cs="仿宋_GB2312"/>
          <w:b/>
          <w:kern w:val="0"/>
          <w:sz w:val="28"/>
          <w:szCs w:val="28"/>
        </w:rPr>
      </w:pPr>
      <w:r>
        <w:rPr>
          <w:rFonts w:hint="eastAsia" w:ascii="仿宋" w:hAnsi="仿宋" w:eastAsia="仿宋" w:cs="仿宋_GB2312"/>
          <w:b/>
          <w:kern w:val="0"/>
          <w:sz w:val="28"/>
          <w:szCs w:val="28"/>
        </w:rPr>
        <w:t>二、业务开展</w:t>
      </w:r>
    </w:p>
    <w:p w14:paraId="38330BA3">
      <w:pPr>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（一）勤勉尽责地为上股交投资者提供协助开户、证券买卖居间介绍、投资咨询等业务服务，认真审核投资者身份及开户资料，及时向上股交报送相关资料，并承担相应责任。</w:t>
      </w:r>
    </w:p>
    <w:p w14:paraId="3F9F5D49">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（二）了解投资者身份、财务状况、证券投资经验等有关信息，评估投资者的风险识别能力和风险承受能力，</w:t>
      </w:r>
      <w:r>
        <w:rPr>
          <w:rFonts w:hint="eastAsia" w:hAnsi="仿宋" w:eastAsia="仿宋"/>
          <w:color w:val="000000"/>
          <w:sz w:val="28"/>
          <w:szCs w:val="28"/>
        </w:rPr>
        <w:t>有针对性地开展风险揭示、投资者知识普及、投资者服务等工作，引导投资者审慎参与证券交易、非公开发行证券等业务</w:t>
      </w:r>
      <w:r>
        <w:rPr>
          <w:rFonts w:hint="eastAsia" w:ascii="仿宋" w:hAnsi="仿宋" w:eastAsia="仿宋"/>
          <w:sz w:val="28"/>
          <w:szCs w:val="28"/>
        </w:rPr>
        <w:t>，不向投资者作获利保证、共担风险等承诺，不作虚假性宣传和误导性陈述，并为投资者提供相匹配的后续服务</w:t>
      </w:r>
      <w:r>
        <w:rPr>
          <w:rFonts w:hint="eastAsia" w:ascii="仿宋" w:hAnsi="仿宋" w:eastAsia="仿宋" w:cs="仿宋_GB2312"/>
          <w:kern w:val="0"/>
          <w:sz w:val="28"/>
          <w:szCs w:val="28"/>
        </w:rPr>
        <w:t>。</w:t>
      </w:r>
    </w:p>
    <w:p w14:paraId="1B6E55DF">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（三）不委托第三方代为开展交易服务业务。</w:t>
      </w:r>
    </w:p>
    <w:p w14:paraId="7606CF37">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（四）</w:t>
      </w:r>
      <w:r>
        <w:rPr>
          <w:rFonts w:ascii="仿宋" w:hAnsi="仿宋" w:eastAsia="仿宋" w:cs="仿宋_GB2312"/>
          <w:kern w:val="0"/>
          <w:sz w:val="28"/>
          <w:szCs w:val="28"/>
        </w:rPr>
        <w:t>除司法机关、外部审计机构及法律法规规定的其他有权部门依照国家有关法律法规、政策性规定及</w:t>
      </w:r>
      <w:r>
        <w:rPr>
          <w:rFonts w:hint="eastAsia" w:ascii="仿宋" w:hAnsi="仿宋" w:eastAsia="仿宋" w:cs="仿宋_GB2312"/>
          <w:kern w:val="0"/>
          <w:sz w:val="28"/>
          <w:szCs w:val="28"/>
        </w:rPr>
        <w:t>上股交</w:t>
      </w:r>
      <w:r>
        <w:rPr>
          <w:rFonts w:ascii="仿宋" w:hAnsi="仿宋" w:eastAsia="仿宋" w:cs="仿宋_GB2312"/>
          <w:kern w:val="0"/>
          <w:sz w:val="28"/>
          <w:szCs w:val="28"/>
        </w:rPr>
        <w:t>根据业务规则要求查询外，不得向其他第三方提供所</w:t>
      </w:r>
      <w:r>
        <w:rPr>
          <w:rFonts w:hint="eastAsia" w:ascii="仿宋" w:hAnsi="仿宋" w:eastAsia="仿宋" w:cs="仿宋_GB2312"/>
          <w:kern w:val="0"/>
          <w:sz w:val="28"/>
          <w:szCs w:val="28"/>
        </w:rPr>
        <w:t>服务</w:t>
      </w:r>
      <w:r>
        <w:rPr>
          <w:rFonts w:ascii="仿宋" w:hAnsi="仿宋" w:eastAsia="仿宋" w:cs="仿宋_GB2312"/>
          <w:kern w:val="0"/>
          <w:sz w:val="28"/>
          <w:szCs w:val="28"/>
        </w:rPr>
        <w:t xml:space="preserve">投资者的相关信息。 </w:t>
      </w:r>
    </w:p>
    <w:p w14:paraId="175F9A89">
      <w:pPr>
        <w:tabs>
          <w:tab w:val="left" w:pos="1470"/>
        </w:tabs>
        <w:autoSpaceDE w:val="0"/>
        <w:autoSpaceDN w:val="0"/>
        <w:adjustRightInd w:val="0"/>
        <w:ind w:firstLine="560" w:firstLineChars="200"/>
        <w:jc w:val="left"/>
        <w:rPr>
          <w:rFonts w:hAnsi="仿宋" w:eastAsia="仿宋"/>
          <w:color w:val="000000"/>
          <w:sz w:val="28"/>
          <w:szCs w:val="28"/>
        </w:rPr>
      </w:pPr>
      <w:r>
        <w:rPr>
          <w:rFonts w:hint="eastAsia" w:ascii="仿宋" w:hAnsi="仿宋" w:eastAsia="仿宋" w:cs="仿宋_GB2312"/>
          <w:kern w:val="0"/>
          <w:sz w:val="28"/>
          <w:szCs w:val="28"/>
        </w:rPr>
        <w:t>（五）</w:t>
      </w:r>
      <w:r>
        <w:rPr>
          <w:rFonts w:hint="eastAsia" w:hAnsi="仿宋" w:eastAsia="仿宋"/>
          <w:color w:val="000000"/>
          <w:sz w:val="28"/>
          <w:szCs w:val="28"/>
        </w:rPr>
        <w:t>监控挂牌公司股票交易情况，关注投资者的投资行为，发现投资者存在异常投资或违规行为的，及时予以警示并向上股交报告。</w:t>
      </w:r>
    </w:p>
    <w:p w14:paraId="343315EC">
      <w:pPr>
        <w:tabs>
          <w:tab w:val="left" w:pos="1470"/>
        </w:tabs>
        <w:autoSpaceDE w:val="0"/>
        <w:autoSpaceDN w:val="0"/>
        <w:adjustRightInd w:val="0"/>
        <w:ind w:firstLine="560" w:firstLineChars="200"/>
        <w:jc w:val="left"/>
        <w:rPr>
          <w:rFonts w:hAnsi="仿宋" w:eastAsia="仿宋"/>
          <w:color w:val="000000"/>
          <w:sz w:val="28"/>
          <w:szCs w:val="28"/>
        </w:rPr>
      </w:pPr>
      <w:r>
        <w:rPr>
          <w:rFonts w:hint="eastAsia" w:hAnsi="仿宋" w:eastAsia="仿宋"/>
          <w:color w:val="000000"/>
          <w:sz w:val="28"/>
          <w:szCs w:val="28"/>
        </w:rPr>
        <w:t>（六）按上股交相关规定，妥善保管申报记录和凭证。</w:t>
      </w:r>
    </w:p>
    <w:p w14:paraId="32B1122E">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（七）</w:t>
      </w:r>
      <w:r>
        <w:rPr>
          <w:rFonts w:hint="eastAsia" w:hAnsi="仿宋" w:eastAsia="仿宋"/>
          <w:color w:val="000000"/>
          <w:sz w:val="28"/>
          <w:szCs w:val="28"/>
        </w:rPr>
        <w:t>规范业务推广和客户招揽行为，保证不对服务能力和过往业绩进行虚假、不实、误导性的营销宣传，保证不以任何方式承诺或者保证投资收益。</w:t>
      </w:r>
    </w:p>
    <w:p w14:paraId="78DB60C8">
      <w:pPr>
        <w:autoSpaceDE w:val="0"/>
        <w:autoSpaceDN w:val="0"/>
        <w:adjustRightInd w:val="0"/>
        <w:ind w:firstLine="540" w:firstLineChars="192"/>
        <w:jc w:val="left"/>
        <w:rPr>
          <w:rFonts w:ascii="仿宋" w:hAnsi="仿宋" w:eastAsia="仿宋" w:cs="仿宋_GB2312"/>
          <w:b/>
          <w:kern w:val="0"/>
          <w:sz w:val="28"/>
          <w:szCs w:val="28"/>
        </w:rPr>
      </w:pPr>
      <w:r>
        <w:rPr>
          <w:rFonts w:hint="eastAsia" w:ascii="仿宋" w:hAnsi="仿宋" w:eastAsia="仿宋" w:cs="仿宋_GB2312"/>
          <w:b/>
          <w:kern w:val="0"/>
          <w:sz w:val="28"/>
          <w:szCs w:val="28"/>
        </w:rPr>
        <w:t>三、其他</w:t>
      </w:r>
    </w:p>
    <w:p w14:paraId="31E94F25">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（一）积极配合上股交对本公司/本单位相关工作及业务资格条件具备情况的检查、核查，不阻挠或人为制造障碍，认真执行上股交的整改要求。</w:t>
      </w:r>
    </w:p>
    <w:p w14:paraId="6C4B70A0">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（二）根据上股交的要求，调查或协助调查指定事项，并将调查结果及时报告上股交。</w:t>
      </w:r>
    </w:p>
    <w:p w14:paraId="563A2106">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（三）因违反上股交相关规则或本承诺给上股交或者相关投资者造成损失的，自愿承担相应赔偿责任。</w:t>
      </w:r>
    </w:p>
    <w:p w14:paraId="4171A4A9">
      <w:pPr>
        <w:autoSpaceDE w:val="0"/>
        <w:autoSpaceDN w:val="0"/>
        <w:adjustRightInd w:val="0"/>
        <w:ind w:firstLine="537" w:firstLineChars="192"/>
        <w:jc w:val="left"/>
        <w:rPr>
          <w:rFonts w:ascii="仿宋" w:hAnsi="仿宋" w:eastAsia="仿宋" w:cs="仿宋_GB2312"/>
          <w:kern w:val="0"/>
          <w:sz w:val="28"/>
          <w:szCs w:val="28"/>
        </w:rPr>
      </w:pPr>
      <w:r>
        <w:rPr>
          <w:rFonts w:hint="eastAsia" w:hAnsi="仿宋" w:eastAsia="仿宋"/>
          <w:color w:val="000000"/>
          <w:sz w:val="28"/>
          <w:szCs w:val="28"/>
        </w:rPr>
        <w:t>（四）填报的《中介机构基本情况申报表》及其他信息发生变更时，及时报告上股交并进行更新。</w:t>
      </w:r>
    </w:p>
    <w:p w14:paraId="4419DA6E">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（五）做好上股交要求的其他相关工作。</w:t>
      </w:r>
    </w:p>
    <w:p w14:paraId="5601F999">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本公司/本单位保证遵守以上承诺，严格自律，勤勉尽责地开展上股交相关业务，维护挂牌公司和投资者合法权益，接受上股交的监督管理，并对此承担相应责任。</w:t>
      </w:r>
    </w:p>
    <w:p w14:paraId="6E3DC57C">
      <w:pPr>
        <w:autoSpaceDE w:val="0"/>
        <w:autoSpaceDN w:val="0"/>
        <w:adjustRightInd w:val="0"/>
        <w:ind w:firstLine="537" w:firstLineChars="192"/>
        <w:jc w:val="left"/>
        <w:rPr>
          <w:rFonts w:ascii="仿宋" w:hAnsi="仿宋" w:eastAsia="仿宋" w:cs="仿宋_GB2312"/>
          <w:kern w:val="0"/>
          <w:sz w:val="28"/>
          <w:szCs w:val="28"/>
        </w:rPr>
      </w:pPr>
    </w:p>
    <w:p w14:paraId="70605A51">
      <w:pPr>
        <w:autoSpaceDE w:val="0"/>
        <w:autoSpaceDN w:val="0"/>
        <w:adjustRightInd w:val="0"/>
        <w:jc w:val="center"/>
        <w:rPr>
          <w:rFonts w:ascii="仿宋" w:hAnsi="仿宋" w:eastAsia="仿宋" w:cs="仿宋_GB2312"/>
          <w:kern w:val="0"/>
          <w:sz w:val="28"/>
          <w:szCs w:val="28"/>
        </w:rPr>
      </w:pPr>
      <w:r>
        <w:rPr>
          <w:rFonts w:hint="eastAsia" w:ascii="仿宋" w:hAnsi="仿宋" w:eastAsia="仿宋" w:cs="仿宋_GB2312"/>
          <w:kern w:val="0"/>
          <w:sz w:val="28"/>
          <w:szCs w:val="28"/>
        </w:rPr>
        <w:t xml:space="preserve">            承诺人（公章）：</w:t>
      </w:r>
    </w:p>
    <w:p w14:paraId="6D8B66AD">
      <w:pPr>
        <w:autoSpaceDE w:val="0"/>
        <w:autoSpaceDN w:val="0"/>
        <w:adjustRightInd w:val="0"/>
        <w:rPr>
          <w:rFonts w:ascii="仿宋" w:hAnsi="仿宋" w:eastAsia="仿宋" w:cs="仿宋_GB2312"/>
          <w:kern w:val="0"/>
          <w:sz w:val="28"/>
          <w:szCs w:val="28"/>
        </w:rPr>
      </w:pPr>
      <w:r>
        <w:rPr>
          <w:rFonts w:hint="eastAsia" w:ascii="仿宋" w:hAnsi="仿宋" w:eastAsia="仿宋" w:cs="仿宋_GB2312"/>
          <w:kern w:val="0"/>
          <w:sz w:val="28"/>
          <w:szCs w:val="28"/>
        </w:rPr>
        <w:t>法定代表人/执行事务</w:t>
      </w:r>
      <w:bookmarkStart w:id="0" w:name="_GoBack"/>
      <w:bookmarkEnd w:id="0"/>
      <w:r>
        <w:rPr>
          <w:rFonts w:hint="eastAsia" w:ascii="仿宋" w:hAnsi="仿宋" w:eastAsia="仿宋" w:cs="仿宋_GB2312"/>
          <w:kern w:val="0"/>
          <w:sz w:val="28"/>
          <w:szCs w:val="28"/>
        </w:rPr>
        <w:t>合伙人/负责人（签字）：</w:t>
      </w:r>
    </w:p>
    <w:p w14:paraId="104B7E05">
      <w:pPr>
        <w:autoSpaceDE w:val="0"/>
        <w:autoSpaceDN w:val="0"/>
        <w:adjustRightInd w:val="0"/>
        <w:jc w:val="center"/>
        <w:rPr>
          <w:rFonts w:ascii="仿宋" w:hAnsi="仿宋" w:eastAsia="仿宋" w:cs="仿宋_GB2312"/>
          <w:kern w:val="0"/>
          <w:sz w:val="28"/>
          <w:szCs w:val="28"/>
        </w:rPr>
      </w:pPr>
    </w:p>
    <w:p w14:paraId="52955313">
      <w:pPr>
        <w:wordWrap w:val="0"/>
        <w:jc w:val="right"/>
        <w:rPr>
          <w:rFonts w:ascii="仿宋" w:hAnsi="仿宋" w:eastAsia="仿宋" w:cs="仿宋_GB2312"/>
          <w:kern w:val="0"/>
          <w:sz w:val="28"/>
          <w:szCs w:val="28"/>
        </w:rPr>
      </w:pPr>
      <w:r>
        <w:rPr>
          <w:rFonts w:hint="eastAsia" w:ascii="仿宋" w:hAnsi="仿宋" w:eastAsia="仿宋" w:cs="仿宋_GB2312"/>
          <w:kern w:val="0"/>
          <w:sz w:val="28"/>
          <w:szCs w:val="28"/>
        </w:rPr>
        <w:t>年     月     日</w:t>
      </w:r>
    </w:p>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D5FBA">
    <w:pPr>
      <w:pStyle w:val="4"/>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67076">
    <w:pPr>
      <w:pStyle w:val="4"/>
      <w:jc w:val="center"/>
    </w:pPr>
    <w:r>
      <w:fldChar w:fldCharType="begin"/>
    </w:r>
    <w:r>
      <w:instrText xml:space="preserve"> PAGE   \* MERGEFORMAT </w:instrText>
    </w:r>
    <w:r>
      <w:fldChar w:fldCharType="separate"/>
    </w:r>
    <w:r>
      <w:t>1</w:t>
    </w:r>
    <w:r>
      <w:fldChar w:fldCharType="end"/>
    </w:r>
  </w:p>
  <w:p w14:paraId="6D5409D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235C1">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0C9A"/>
    <w:rsid w:val="0002742E"/>
    <w:rsid w:val="00040EA9"/>
    <w:rsid w:val="00053FE1"/>
    <w:rsid w:val="00063342"/>
    <w:rsid w:val="00074A70"/>
    <w:rsid w:val="000B12DA"/>
    <w:rsid w:val="000D0C9A"/>
    <w:rsid w:val="000E7248"/>
    <w:rsid w:val="000F18D0"/>
    <w:rsid w:val="001314C5"/>
    <w:rsid w:val="00131FE6"/>
    <w:rsid w:val="0015194C"/>
    <w:rsid w:val="00167573"/>
    <w:rsid w:val="001704A1"/>
    <w:rsid w:val="00175536"/>
    <w:rsid w:val="00193805"/>
    <w:rsid w:val="001B6CBA"/>
    <w:rsid w:val="001C31E9"/>
    <w:rsid w:val="001E0032"/>
    <w:rsid w:val="001E3B10"/>
    <w:rsid w:val="00202BE1"/>
    <w:rsid w:val="0021190C"/>
    <w:rsid w:val="0025164C"/>
    <w:rsid w:val="00254F1E"/>
    <w:rsid w:val="00260D77"/>
    <w:rsid w:val="00286362"/>
    <w:rsid w:val="002E1331"/>
    <w:rsid w:val="00326953"/>
    <w:rsid w:val="00383B8D"/>
    <w:rsid w:val="00393126"/>
    <w:rsid w:val="003A4476"/>
    <w:rsid w:val="003A4A64"/>
    <w:rsid w:val="004109B8"/>
    <w:rsid w:val="004261D7"/>
    <w:rsid w:val="0043067D"/>
    <w:rsid w:val="00444231"/>
    <w:rsid w:val="00462FFC"/>
    <w:rsid w:val="00465BF3"/>
    <w:rsid w:val="00473237"/>
    <w:rsid w:val="00483F7A"/>
    <w:rsid w:val="0049346A"/>
    <w:rsid w:val="004960D1"/>
    <w:rsid w:val="00497C82"/>
    <w:rsid w:val="004C2211"/>
    <w:rsid w:val="004F68ED"/>
    <w:rsid w:val="004F7F57"/>
    <w:rsid w:val="00514585"/>
    <w:rsid w:val="00520738"/>
    <w:rsid w:val="0052323B"/>
    <w:rsid w:val="005320A6"/>
    <w:rsid w:val="0056485D"/>
    <w:rsid w:val="00583BD8"/>
    <w:rsid w:val="0059439C"/>
    <w:rsid w:val="005B2861"/>
    <w:rsid w:val="005D365E"/>
    <w:rsid w:val="005F4177"/>
    <w:rsid w:val="00652174"/>
    <w:rsid w:val="00696FFD"/>
    <w:rsid w:val="006A5CCC"/>
    <w:rsid w:val="006E3168"/>
    <w:rsid w:val="006F477A"/>
    <w:rsid w:val="00703A3E"/>
    <w:rsid w:val="00735EDC"/>
    <w:rsid w:val="007770BD"/>
    <w:rsid w:val="0078476B"/>
    <w:rsid w:val="0079728D"/>
    <w:rsid w:val="007B5186"/>
    <w:rsid w:val="007B7872"/>
    <w:rsid w:val="007C618C"/>
    <w:rsid w:val="007F0D70"/>
    <w:rsid w:val="00816337"/>
    <w:rsid w:val="008217AF"/>
    <w:rsid w:val="00821E42"/>
    <w:rsid w:val="00826765"/>
    <w:rsid w:val="008359D4"/>
    <w:rsid w:val="00835AC3"/>
    <w:rsid w:val="008366B6"/>
    <w:rsid w:val="00854363"/>
    <w:rsid w:val="0088358F"/>
    <w:rsid w:val="00893AC4"/>
    <w:rsid w:val="008A13AB"/>
    <w:rsid w:val="008B57D6"/>
    <w:rsid w:val="008E6F33"/>
    <w:rsid w:val="008F5AF6"/>
    <w:rsid w:val="00900CF5"/>
    <w:rsid w:val="009271D5"/>
    <w:rsid w:val="009376E4"/>
    <w:rsid w:val="009467EC"/>
    <w:rsid w:val="00951C00"/>
    <w:rsid w:val="009558C8"/>
    <w:rsid w:val="00967737"/>
    <w:rsid w:val="00995862"/>
    <w:rsid w:val="009B27BC"/>
    <w:rsid w:val="00A003EE"/>
    <w:rsid w:val="00A013B1"/>
    <w:rsid w:val="00A04238"/>
    <w:rsid w:val="00A061AC"/>
    <w:rsid w:val="00A11DF8"/>
    <w:rsid w:val="00A13747"/>
    <w:rsid w:val="00A43753"/>
    <w:rsid w:val="00A5684F"/>
    <w:rsid w:val="00A77090"/>
    <w:rsid w:val="00AE7C3F"/>
    <w:rsid w:val="00B01EF7"/>
    <w:rsid w:val="00B06C20"/>
    <w:rsid w:val="00B22457"/>
    <w:rsid w:val="00B62E06"/>
    <w:rsid w:val="00B9057A"/>
    <w:rsid w:val="00C14205"/>
    <w:rsid w:val="00C52C35"/>
    <w:rsid w:val="00C622E0"/>
    <w:rsid w:val="00C64B2D"/>
    <w:rsid w:val="00C73BAF"/>
    <w:rsid w:val="00C9073F"/>
    <w:rsid w:val="00C92941"/>
    <w:rsid w:val="00CC0AE6"/>
    <w:rsid w:val="00D1628F"/>
    <w:rsid w:val="00D3543C"/>
    <w:rsid w:val="00D51223"/>
    <w:rsid w:val="00D76256"/>
    <w:rsid w:val="00D81363"/>
    <w:rsid w:val="00D9006D"/>
    <w:rsid w:val="00D94148"/>
    <w:rsid w:val="00D975F9"/>
    <w:rsid w:val="00DA721E"/>
    <w:rsid w:val="00DB324E"/>
    <w:rsid w:val="00DD6C3B"/>
    <w:rsid w:val="00DF5C27"/>
    <w:rsid w:val="00E041E3"/>
    <w:rsid w:val="00E20012"/>
    <w:rsid w:val="00E41079"/>
    <w:rsid w:val="00E44971"/>
    <w:rsid w:val="00E81230"/>
    <w:rsid w:val="00E854B5"/>
    <w:rsid w:val="00EB10F1"/>
    <w:rsid w:val="00ED132C"/>
    <w:rsid w:val="00EF401C"/>
    <w:rsid w:val="00F04AE5"/>
    <w:rsid w:val="00F15BC2"/>
    <w:rsid w:val="00F2077F"/>
    <w:rsid w:val="00F42D0B"/>
    <w:rsid w:val="00F45BFD"/>
    <w:rsid w:val="00F74A17"/>
    <w:rsid w:val="00F84E84"/>
    <w:rsid w:val="00FA08AC"/>
    <w:rsid w:val="00FD2D1A"/>
    <w:rsid w:val="108D51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iPriority w:val="0"/>
    <w:pPr>
      <w:jc w:val="left"/>
    </w:pPr>
  </w:style>
  <w:style w:type="paragraph" w:styleId="3">
    <w:name w:val="Balloon Text"/>
    <w:basedOn w:val="1"/>
    <w:link w:val="14"/>
    <w:semiHidden/>
    <w:unhideWhenUsed/>
    <w:uiPriority w:val="99"/>
    <w:rPr>
      <w:sz w:val="18"/>
      <w:szCs w:val="18"/>
    </w:rPr>
  </w:style>
  <w:style w:type="paragraph" w:styleId="4">
    <w:name w:val="footer"/>
    <w:basedOn w:val="1"/>
    <w:link w:val="10"/>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uiPriority w:val="99"/>
    <w:rPr>
      <w:b/>
      <w:bCs/>
    </w:rPr>
  </w:style>
  <w:style w:type="character" w:styleId="9">
    <w:name w:val="annotation reference"/>
    <w:basedOn w:val="8"/>
    <w:semiHidden/>
    <w:unhideWhenUsed/>
    <w:uiPriority w:val="99"/>
    <w:rPr>
      <w:sz w:val="21"/>
      <w:szCs w:val="21"/>
    </w:rPr>
  </w:style>
  <w:style w:type="character" w:customStyle="1" w:styleId="10">
    <w:name w:val="页脚 Char"/>
    <w:basedOn w:val="8"/>
    <w:link w:val="4"/>
    <w:uiPriority w:val="0"/>
    <w:rPr>
      <w:sz w:val="18"/>
      <w:szCs w:val="18"/>
    </w:rPr>
  </w:style>
  <w:style w:type="character" w:customStyle="1" w:styleId="11">
    <w:name w:val="页眉 Char"/>
    <w:basedOn w:val="8"/>
    <w:link w:val="5"/>
    <w:uiPriority w:val="0"/>
    <w:rPr>
      <w:sz w:val="18"/>
      <w:szCs w:val="18"/>
    </w:rPr>
  </w:style>
  <w:style w:type="character" w:customStyle="1" w:styleId="12">
    <w:name w:val="页眉 Char1"/>
    <w:basedOn w:val="8"/>
    <w:semiHidden/>
    <w:uiPriority w:val="99"/>
    <w:rPr>
      <w:rFonts w:ascii="Times New Roman" w:hAnsi="Times New Roman" w:eastAsia="宋体" w:cs="Times New Roman"/>
      <w:sz w:val="18"/>
      <w:szCs w:val="18"/>
    </w:rPr>
  </w:style>
  <w:style w:type="character" w:customStyle="1" w:styleId="13">
    <w:name w:val="页脚 Char1"/>
    <w:basedOn w:val="8"/>
    <w:semiHidden/>
    <w:qFormat/>
    <w:uiPriority w:val="99"/>
    <w:rPr>
      <w:rFonts w:ascii="Times New Roman" w:hAnsi="Times New Roman" w:eastAsia="宋体" w:cs="Times New Roman"/>
      <w:sz w:val="18"/>
      <w:szCs w:val="18"/>
    </w:rPr>
  </w:style>
  <w:style w:type="character" w:customStyle="1" w:styleId="14">
    <w:name w:val="批注框文本 Char"/>
    <w:basedOn w:val="8"/>
    <w:link w:val="3"/>
    <w:semiHidden/>
    <w:uiPriority w:val="99"/>
    <w:rPr>
      <w:rFonts w:ascii="Times New Roman" w:hAnsi="Times New Roman" w:eastAsia="宋体" w:cs="Times New Roman"/>
      <w:sz w:val="18"/>
      <w:szCs w:val="18"/>
    </w:rPr>
  </w:style>
  <w:style w:type="character" w:customStyle="1" w:styleId="15">
    <w:name w:val="批注文字 Char"/>
    <w:basedOn w:val="8"/>
    <w:link w:val="2"/>
    <w:uiPriority w:val="0"/>
    <w:rPr>
      <w:rFonts w:ascii="Times New Roman" w:hAnsi="Times New Roman" w:eastAsia="宋体" w:cs="Times New Roman"/>
      <w:szCs w:val="24"/>
    </w:rPr>
  </w:style>
  <w:style w:type="character" w:customStyle="1" w:styleId="16">
    <w:name w:val="批注主题 Char"/>
    <w:basedOn w:val="15"/>
    <w:link w:val="6"/>
    <w:semiHidden/>
    <w:uiPriority w:val="99"/>
    <w:rPr>
      <w:rFonts w:ascii="Times New Roman" w:hAnsi="Times New Roman" w:eastAsia="宋体" w:cs="Times New Roman"/>
      <w:b/>
      <w:bCs/>
      <w:szCs w:val="24"/>
    </w:rPr>
  </w:style>
  <w:style w:type="paragraph" w:customStyle="1" w:styleId="17">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1360</Words>
  <Characters>1364</Characters>
  <Lines>10</Lines>
  <Paragraphs>2</Paragraphs>
  <TotalTime>135</TotalTime>
  <ScaleCrop>false</ScaleCrop>
  <LinksUpToDate>false</LinksUpToDate>
  <CharactersWithSpaces>1387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2013-11-12T01:13:00Z</dcterms:created>
  <dc:creator>薛磊</dc:creator>
  <cp:lastModifiedBy>龚馨玥 </cp:lastModifiedBy>
  <dcterms:modified xsi:type="dcterms:W3CDTF">2026-06-11T06:26:46Z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eyJoZGlkIjoiYjQ0NmE3Mjk1M2YzYTExM2E2YzZmZmQyODE3OTEwMTgiLCJ1c2VySWQiOiIzNjM0OTU2NzUifQ==</vt:lpwstr>
  </property>
  <property fmtid="{D5CDD505-2E9C-101B-9397-08002B2CF9AE}" pid="3" name="KSOProductBuildVer">
    <vt:lpwstr>2052-12.1.0.26895</vt:lpwstr>
  </property>
  <property fmtid="{D5CDD505-2E9C-101B-9397-08002B2CF9AE}" pid="4" name="ICV">
    <vt:lpwstr>B027634980094D65A9F120F1BCFA55B2_12</vt:lpwstr>
  </property>
</Properties>
</file>